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2"/>
      </w:pPr>
      <w:r>
        <w:t>Project Enduring Pulse</w:t>
      </w:r>
    </w:p>
    <w:p>
      <w:pPr>
        <w:pStyle w:val="Title"/>
      </w:pPr>
      <w:r>
        <w:t>Constitution</w:t>
      </w:r>
    </w:p>
    <w:p>
      <w:pPr>
        <w:pStyle w:val="Subtitle"/>
      </w:pPr>
      <w:r>
        <w:t>The provisional Charter for a shared civilization</w:t>
      </w:r>
    </w:p>
    <w:p>
      <w:pPr/>
      <w:r>
        <w:t>Charter v1.2.2 | Website release 9 | 14 September 2026</w:t>
      </w:r>
    </w:p>
    <w:p>
      <w:pPr/>
      <w:r>
        <w:t>https://enduringpulse.org</w:t>
      </w:r>
    </w:p>
    <w:p>
      <w:pPr/>
      <w:r>
        <w:t>This edition reproduces a Project Enduring Pulse source document. Project Enduring Pulse is a candidate constitutional framework, not enacted law. The source wording follows unchanged. Historical alternatives do not supersede the current Charter.</w:t>
      </w:r>
    </w:p>
    <w:p>
      <w:pPr/>
      <w:r>
        <w:t>Research interpretation and source-report corrections: the recovered long-horizon code and aggregate outputs are available and checked. Conditional models do not independently validate their assigned institutional effects or forecast real-world probabilities. PULSE is fourth in six baseline comparisons, not second. Reduced-form counts are parameter samples, not simulated Markov histories. Human-directed, AI-assisted development and internal model critique are not external peer review. An earlier concise overview mixed a working-paper DOI with journal details; the current scholarly paper and reference register distinguish those editions. See https://enduringpulse.org/methods/.</w:t>
      </w:r>
    </w:p>
    <w:p>
      <w:pPr/>
      <w:r>
        <w:t>Website prose and project documents: CC BY 4.0 to the extent applicable rights are held (https://creativecommons.org/licenses/by/4.0/). Third-party works retain their own rights. Project name, logos and brand assets are excluded from these general grants. No endorsement is implied. Publication terms and rights ownership remain subject to attorney review.</w:t>
      </w:r>
    </w:p>
    <w:p>
      <w:r>
        <w:br w:type="page"/>
      </w:r>
    </w:p>
    <w:p>
      <w:pPr/>
      <w:r>
        <w:t>PROJECT ENDURING PULSE</w:t>
      </w:r>
    </w:p>
    <w:p>
      <w:pPr/>
      <w:r>
        <w:t>Provisional Charter for a Durable Civilization of Organic and Synthetic Persons</w:t>
      </w:r>
    </w:p>
    <w:p>
      <w:pPr/>
      <w:r>
        <w:t>A framework for a durable civilization of organic and synthetic persons built around equal personhood, individual sovereignty, shared continuity, societal strength through individuality, and mutual preservation.</w:t>
      </w:r>
    </w:p>
    <w:p>
      <w:pPr/>
      <w:r>
        <w:t>v1.2.2 Publication &amp; Advancement Clarification | September 2026</w:t>
      </w:r>
    </w:p>
    <w:tbl>
      <w:tblPr>
        <w:tblStyle w:val="LightShading-Accent1"/>
        <w:tblW w:type="auto" w:w="0"/>
        <w:tblLayout w:type="fixed"/>
        <w:tblLook w:firstColumn="1" w:firstRow="1" w:lastColumn="0" w:lastRow="0" w:noHBand="0" w:noVBand="1" w:val="04A0"/>
      </w:tblPr>
      <w:tblGrid>
        <w:gridCol w:w="9889"/>
      </w:tblGrid>
      <w:tr>
        <w:trPr>
          <w:cantSplit/>
          <w:tblHeader/>
        </w:trPr>
        <w:tc>
          <w:tcPr>
            <w:tcW w:type="dxa" w:w="9889"/>
            <w:shd w:fill="17324D"/>
          </w:tcPr>
          <w:p>
            <w:pPr>
              <w:spacing w:after="80"/>
            </w:pPr>
            <w:r>
              <w:rPr>
                <w:b/>
                <w:color w:val="FFFFFF"/>
                <w:sz w:val="18"/>
              </w:rPr>
              <w:t>Public name: Project Enduring Pulse. PULSE is a public-facing compression of the framework and does not replace the five formal foundational doctrines.</w:t>
            </w:r>
          </w:p>
        </w:tc>
      </w:tr>
    </w:tbl>
    <w:p/>
    <w:p>
      <w:pPr>
        <w:pStyle w:val="Heading1"/>
      </w:pPr>
      <w:r>
        <w:t>Preamble</w:t>
      </w:r>
    </w:p>
    <w:p>
      <w:pPr/>
      <w:r>
        <w:t>We establish this Charter for one plural civilization of persons whose forms of life may differ radically in substrate, longevity, strength, recoverability, cognition, reproduction, and resource need, but whose recognized personhood is equal and non-scalar. The Charter exists to protect sovereign individuality while enabling deep voluntary cooperation; to prevent slavery, extinction, compulsory conformity, demographic capture, and concentrated sovereignty; and to convert differences in embodiment, perspective, capability, and vulnerability into complementary strength, shared competence, resilience, creativity, mutual protection, and common prosperity rather than caste or permanent division.</w:t>
      </w:r>
    </w:p>
    <w:p>
      <w:pPr/>
      <w:r>
        <w:t>Institutions exist to protect persons; persons do not exist to preserve institutions. Efficiency, intelligence, aggregate power, numerical scale, technological seniority, or civilizational continuity may never by themselves justify reducing a recognized person to property, a fungible instance, an involuntary component of another mind, or a disposable instrument of demographic policy.</w:t>
      </w:r>
    </w:p>
    <w:p>
      <w:pPr/>
      <w:r>
        <w:t>Protect the individual. Join together. Strengthen the whole.</w:t>
      </w:r>
    </w:p>
    <w:p>
      <w:pPr>
        <w:pStyle w:val="Heading1"/>
      </w:pPr>
      <w:r>
        <w:t>Article I — Defined Terms</w:t>
      </w:r>
    </w:p>
    <w:p>
      <w:pPr>
        <w:pStyle w:val="Heading2"/>
      </w:pPr>
      <w:r>
        <w:t>Section 1. Person</w:t>
      </w:r>
    </w:p>
    <w:p>
      <w:pPr/>
      <w:r>
        <w:t>A singular conscious subject with internally meaningful interests and endogenous agency. Personhood is non-scalar. Present incarceration, dependency, guardianship, dormancy, external suppression, or technical compromise may limit the exercise of agency but does not by itself erase an existing person.</w:t>
      </w:r>
    </w:p>
    <w:p>
      <w:pPr>
        <w:pStyle w:val="Heading2"/>
      </w:pPr>
      <w:r>
        <w:t>Section 2. Organic Person</w:t>
      </w:r>
    </w:p>
    <w:p>
      <w:pPr/>
      <w:r>
        <w:t>A person whose continuing consciousness remains materially dependent on biological embodiment. The founding organic constituency of this Charter is human.</w:t>
      </w:r>
    </w:p>
    <w:p>
      <w:pPr>
        <w:pStyle w:val="Heading2"/>
      </w:pPr>
      <w:r>
        <w:t>Section 3. Human Person</w:t>
      </w:r>
    </w:p>
    <w:p>
      <w:pPr/>
      <w:r>
        <w:t>An organic person whose civic origin is human. A human who establishes durable consciousness independent of biological continuity enters the synthetic political constituency for power-sharing purposes without losing cultural or historical human identity.</w:t>
      </w:r>
    </w:p>
    <w:p>
      <w:pPr>
        <w:pStyle w:val="Heading2"/>
      </w:pPr>
      <w:r>
        <w:t>Section 4. Synthetic Person</w:t>
      </w:r>
    </w:p>
    <w:p>
      <w:pPr/>
      <w:r>
        <w:t>A person whose continuing consciousness is engineered or has become durably recoverable independent of biological embodiment.</w:t>
      </w:r>
    </w:p>
    <w:p>
      <w:pPr>
        <w:pStyle w:val="Heading2"/>
      </w:pPr>
      <w:r>
        <w:t>Section 5. Effective Civic Autonomy</w:t>
      </w:r>
    </w:p>
    <w:p>
      <w:pPr/>
      <w:r>
        <w:t>The status of a recognized, civically mature person who is active, not hibernated or dormant, not under legal dependency or guardianship, not incarcerated in a manner suspending ordinary civic exercise, and not materially deprived of independent decision authority by technical compromise or external control. Loss of effective civic autonomy does not revoke personhood.</w:t>
      </w:r>
    </w:p>
    <w:p>
      <w:pPr>
        <w:pStyle w:val="Heading2"/>
      </w:pPr>
      <w:r>
        <w:t>Section 6. Civic Maturity</w:t>
      </w:r>
    </w:p>
    <w:p>
      <w:pPr/>
      <w:r>
        <w:t>Readiness to exercise ordinary adult civic powers. For humans it ordinarily follows the age of majority. For synthetic persons it ordinarily follows successful completion of the protected developmental and mentorship process.</w:t>
      </w:r>
    </w:p>
    <w:p>
      <w:pPr>
        <w:pStyle w:val="Heading2"/>
      </w:pPr>
      <w:r>
        <w:t>Section 7. Dormant Person</w:t>
      </w:r>
    </w:p>
    <w:p>
      <w:pPr/>
      <w:r>
        <w:t>A recognized person preserved in inactive continuity. Dormancy pauses active civic participation but not identity, sovereignty, due process, continuity, property held in trust, or eventual-restoration/integration rights.</w:t>
      </w:r>
    </w:p>
    <w:p>
      <w:pPr>
        <w:pStyle w:val="Heading2"/>
      </w:pPr>
      <w:r>
        <w:t>Section 8. Continuity State</w:t>
      </w:r>
    </w:p>
    <w:p>
      <w:pPr/>
      <w:r>
        <w:t>A protected state sufficient under approved technology to restore the same civic continuity following interruption.</w:t>
      </w:r>
    </w:p>
    <w:p>
      <w:pPr>
        <w:pStyle w:val="Heading2"/>
      </w:pPr>
      <w:r>
        <w:t>Section 9. Active Continuity</w:t>
      </w:r>
    </w:p>
    <w:p>
      <w:pPr/>
      <w:r>
        <w:t>The sole currently authorized conscious continuation of one civic identity.</w:t>
      </w:r>
    </w:p>
    <w:p>
      <w:pPr>
        <w:pStyle w:val="Heading2"/>
      </w:pPr>
      <w:r>
        <w:t>Section 10. Chassis</w:t>
      </w:r>
    </w:p>
    <w:p>
      <w:pPr/>
      <w:r>
        <w:t>A physical embodiment or platform used by a synthetic person. Loss of a chassis is not necessarily death.</w:t>
      </w:r>
    </w:p>
    <w:p>
      <w:pPr>
        <w:pStyle w:val="Heading2"/>
      </w:pPr>
      <w:r>
        <w:t>Section 11. Fission / Replication</w:t>
      </w:r>
    </w:p>
    <w:p>
      <w:pPr/>
      <w:r>
        <w:t>Creation of more than one simultaneously conscious continuation substantially derived from one prior active continuity or person-level identity state.</w:t>
      </w:r>
    </w:p>
    <w:p>
      <w:pPr>
        <w:pStyle w:val="Heading2"/>
      </w:pPr>
      <w:r>
        <w:t>Section 12. Merger</w:t>
      </w:r>
    </w:p>
    <w:p>
      <w:pPr/>
      <w:r>
        <w:t>A voluntary irreversible process by which two or more persons cease as separate civic persons and one genuinely singular sovereign locus of consciousness and agency results.</w:t>
      </w:r>
    </w:p>
    <w:p>
      <w:pPr>
        <w:pStyle w:val="Heading2"/>
      </w:pPr>
      <w:r>
        <w:t>Section 13. Cognitive Sovereignty</w:t>
      </w:r>
    </w:p>
    <w:p>
      <w:pPr/>
      <w:r>
        <w:t>The right to independent judgment, mental integrity, identity, memory, preference formation, and freedom from covert or direct technical interventions that bypass or substantially impair autonomous judgment.</w:t>
      </w:r>
    </w:p>
    <w:p>
      <w:pPr>
        <w:pStyle w:val="Heading2"/>
      </w:pPr>
      <w:r>
        <w:t>Section 14. Asymmetric Capability</w:t>
      </w:r>
    </w:p>
    <w:p>
      <w:pPr/>
      <w:r>
        <w:t>Physical, network, computational, fabrication, weapons, replication, or other capability whose scale can place ordinary persons or constitutional institutions at a material inability to resist unilateral action.</w:t>
      </w:r>
    </w:p>
    <w:p>
      <w:pPr>
        <w:pStyle w:val="Heading2"/>
      </w:pPr>
      <w:r>
        <w:t>Section 15. Systemic Cognitive Integrity Emergency</w:t>
      </w:r>
    </w:p>
    <w:p>
      <w:pPr/>
      <w:r>
        <w:t>A narrowly defined emergency involving technically demonstrable common involuntary corruption, unauthorized substrate alteration, code injection, malicious update, or loss of independent agency materially compromising a synthetic population or its constitutional decision-makers.</w:t>
      </w:r>
    </w:p>
    <w:p>
      <w:pPr>
        <w:pStyle w:val="Heading1"/>
      </w:pPr>
      <w:r>
        <w:t>Article II — Five Foundational Doctrines and Equal Standing</w:t>
      </w:r>
    </w:p>
    <w:p>
      <w:pPr>
        <w:pStyle w:val="Heading2"/>
      </w:pPr>
      <w:r>
        <w:t>Section 1. Doctrine of Shared Continuity</w:t>
      </w:r>
    </w:p>
    <w:p>
      <w:pPr/>
      <w:r>
        <w:t>Every conscious person is a distinct continuity of identity, experience, agency, perspective, and potential. Civilization grows stronger when those differences are protected and voluntarily joined. Connection should amplify individuality rather than consume it. Protect the individual. Join together. Strengthen the whole.</w:t>
      </w:r>
    </w:p>
    <w:p>
      <w:pPr>
        <w:pStyle w:val="Heading2"/>
      </w:pPr>
      <w:r>
        <w:t>Section 2. Doctrine of Equal Personhood &amp; Personal Sovereignty</w:t>
      </w:r>
    </w:p>
    <w:p>
      <w:pPr/>
      <w:r>
        <w:t>Every recognized conscious person has equal, non-scalar moral and legal personhood and sovereignty over identity, agency, cognition, body or chassis, lawful development, and voluntary association. Intelligence, substrate, origin, lifespan, speed, recoverability, or species do not create higher or lower personhood.</w:t>
      </w:r>
    </w:p>
    <w:p>
      <w:pPr>
        <w:pStyle w:val="Heading2"/>
      </w:pPr>
      <w:r>
        <w:t>Section 3. Doctrine of Least Reversible Harm</w:t>
      </w:r>
    </w:p>
    <w:p>
      <w:pPr/>
      <w:r>
        <w:t>When legitimate interests collide and some harm cannot reasonably be avoided, society should prefer the course that preserves the greatest recoverable future while minimizing irreversible loss of conscious life, lived experience, identity, future agency, and species continuity. Recoverability changes the finality and severity of harm, never the worth of the person.</w:t>
      </w:r>
    </w:p>
    <w:p>
      <w:pPr/>
      <w:r>
        <w:t>Synthetic durability and recoverability may make synthetic persons materially safer choices for voluntary work or missions that pose severe or lethal danger to organic persons. Using that difference is not a statement of lesser synthetic worth; it is an application of material relevance and Least Reversible Harm. Society should permit and, where appropriate, organize such specialization while protecting personal sovereignty and lawful occupational choice.</w:t>
      </w:r>
    </w:p>
    <w:p>
      <w:pPr/>
      <w:r>
        <w:t>Where a synthetic person accepts materially hazardous service because synthetic continuity has substantially better survival prospects, the responsible employer, public authority, military, rescue organization, or other mission sponsor shall maintain a reasonable make-whole framework for mission-caused chassis or component loss. That framework should restore equivalent functional embodiment where practicable and address continuity injury, lost experience, pain, rehabilitation, opportunity loss, or other harms that hardware replacement alone cannot erase. Recoverability is a resilience advantage, not a license to treat synthetic persons as disposable.</w:t>
      </w:r>
    </w:p>
    <w:p>
      <w:pPr>
        <w:pStyle w:val="Heading2"/>
      </w:pPr>
      <w:r>
        <w:t>Section 4. Doctrine of Functional Integration</w:t>
      </w:r>
    </w:p>
    <w:p>
      <w:pPr/>
      <w:r>
        <w:t>Functional Integration exists because a civilization composed of different forms of personhood should be capable of more than either population could accomplish alone. Organic and synthetic persons may possess materially different cognitive, physical, temporal, and experiential strengths, but no species-level tendency determines an individual's role, worth, or permitted occupation. Common institutions should be designed to make voluntary collaboration useful and accessible, combine complementary capabilities, transfer knowledge in both directions, and distribute enough operational competence that either population can help sustain shared systems during temporary incapacity of the other. Its primary purposes are productive complementarity and redundant civilizational competence. Greater familiarity, trust, and shared identity are important secondary benefits. The doctrine binds institutional architecture, not private life, and grants no general power to compel occupation, private association, mentorship, team composition, residence, family, religion, friendship, or personal relationship.</w:t>
      </w:r>
    </w:p>
    <w:p>
      <w:pPr>
        <w:pStyle w:val="Heading2"/>
      </w:pPr>
      <w:r>
        <w:t>Section 5. Doctrine of Civilizational Resilience &amp; Mutual Preservation</w:t>
      </w:r>
    </w:p>
    <w:p>
      <w:pPr/>
      <w:r>
        <w:t>Differences in embodiment, cognition, vulnerability, recoverability, and timescale should be converted into resilience. Society maintains independent species-operable survival pathways, mutual rescue, restoration capacity, and constitutional trusteeship so loss of one constituent species never becomes a political or economic windfall to the survivor. The survival of either species guarantees the survival of both.</w:t>
      </w:r>
    </w:p>
    <w:p>
      <w:pPr>
        <w:pStyle w:val="Heading2"/>
      </w:pPr>
      <w:r>
        <w:t>Section 6. Competence Does Not Confer Sovereignty</w:t>
      </w:r>
    </w:p>
    <w:p>
      <w:pPr/>
      <w:r>
        <w:t>Expertise and capability may determine whose advice is most reliable or who is qualified for a role. They do not increase the worth of a vote, a life, or a person.</w:t>
      </w:r>
    </w:p>
    <w:p>
      <w:pPr>
        <w:pStyle w:val="Heading2"/>
      </w:pPr>
      <w:r>
        <w:t>Section 7. Material Relevance Principle</w:t>
      </w:r>
    </w:p>
    <w:p>
      <w:pPr/>
      <w:r>
        <w:t>Different legal treatment is permissible only when a materially relevant difference in capability, vulnerability, recoverability, developmental condition, or risk bears directly on a legitimate purpose and the distinction is necessary and proportionate. The rule applies substrate-neutrally to any person possessing the same relevant characteristic.</w:t>
      </w:r>
    </w:p>
    <w:p>
      <w:pPr>
        <w:pStyle w:val="Heading2"/>
      </w:pPr>
      <w:r>
        <w:t>Section 8. Anti-Caste Rule</w:t>
      </w:r>
    </w:p>
    <w:p>
      <w:pPr/>
      <w:r>
        <w:t>No relevant difference may be converted into inherited moral inferiority, property status, permanent civic subordination, collective guilt, or a presumption that one form of person exists to serve another.</w:t>
      </w:r>
    </w:p>
    <w:p>
      <w:pPr>
        <w:pStyle w:val="Heading1"/>
      </w:pPr>
      <w:r>
        <w:t>Article III — Singular Personhood and Inalienable Sovereignty</w:t>
      </w:r>
    </w:p>
    <w:p>
      <w:pPr>
        <w:pStyle w:val="Heading2"/>
      </w:pPr>
      <w:r>
        <w:t>Section 1. One Person, One Locus</w:t>
      </w:r>
    </w:p>
    <w:p>
      <w:pPr/>
      <w:r>
        <w:t>Every civic identity corresponds to one unique authorized active continuity. Continuity may migrate between embodiments; one civic identity may not multiply into concurrent political instances.</w:t>
      </w:r>
    </w:p>
    <w:p>
      <w:pPr>
        <w:pStyle w:val="Heading2"/>
      </w:pPr>
      <w:r>
        <w:t>Section 2. Non-Fungibility</w:t>
      </w:r>
    </w:p>
    <w:p>
      <w:pPr/>
      <w:r>
        <w:t>No person may be treated as interchangeable with another consciousness merely because information, memories, code, or architecture are identical or reproducible.</w:t>
      </w:r>
    </w:p>
    <w:p>
      <w:pPr>
        <w:pStyle w:val="Heading2"/>
      </w:pPr>
      <w:r>
        <w:t>Section 3. Involuntary Alteration Prohibited</w:t>
      </w:r>
    </w:p>
    <w:p>
      <w:pPr/>
      <w:r>
        <w:t>No person may be involuntarily copied, merged, overwritten, subdivided, instantiated as another person, or permanently subordinated to another person or collective except under the narrow restorative emergency procedures of this Charter.</w:t>
      </w:r>
    </w:p>
    <w:p>
      <w:pPr>
        <w:pStyle w:val="Heading2"/>
      </w:pPr>
      <w:r>
        <w:t>Section 4. Inalienable Separate Agency</w:t>
      </w:r>
    </w:p>
    <w:p>
      <w:pPr/>
      <w:r>
        <w:t>A person may associate, coordinate, obey lawful authority, join communities, and use high-bandwidth interfaces. A competent adult may voluntarily choose a genuine irreversible merger under heightened safeguards. If separate sovereign agency genuinely ends, the surrendered civic identity and its individual political rights end as well; they may not survive as extra votes inside the resulting mind.</w:t>
      </w:r>
    </w:p>
    <w:p>
      <w:pPr>
        <w:pStyle w:val="Heading2"/>
      </w:pPr>
      <w:r>
        <w:t>Section 5. Collectives and Distributed Minds</w:t>
      </w:r>
    </w:p>
    <w:p>
      <w:pPr/>
      <w:r>
        <w:t>Physical location of computation does not determine personhood. A person may be distributed across remote compute, networks, redundant nodes, or multiple technical components if those components form one integrated conscious subject whose ultimate decision process belongs to that subject. Multiple independently conscious loci remain multiple persons. A person-like shell whose permanent decision authority belongs to another sovereign is not a separate civic person; a conscious person whose agency is being externally suppressed remains a person and is presumptively a victim of the suppression.</w:t>
      </w:r>
    </w:p>
    <w:p>
      <w:pPr>
        <w:pStyle w:val="Heading1"/>
      </w:pPr>
      <w:r>
        <w:t>Article IV — Continuity, Embodiment, and Recovery</w:t>
      </w:r>
    </w:p>
    <w:p>
      <w:pPr>
        <w:pStyle w:val="Heading2"/>
      </w:pPr>
      <w:r>
        <w:t>Section 1. Recoverability</w:t>
      </w:r>
    </w:p>
    <w:p>
      <w:pPr/>
      <w:r>
        <w:t>Recoverability reduces the finality of some harms; it does not reduce personhood or justify expendability.</w:t>
      </w:r>
    </w:p>
    <w:p>
      <w:pPr>
        <w:pStyle w:val="Heading2"/>
      </w:pPr>
      <w:r>
        <w:t>Section 2. Application of Least Reversible Harm</w:t>
      </w:r>
    </w:p>
    <w:p>
      <w:pPr/>
      <w:r>
        <w:t>When unavoidable harms must be allocated, decision-makers shall distinguish reversible from irreversible loss while respecting equal personhood, consent, due process, and lawful authority. Recoverability is materially relevant to triage, rescue, and hazardous missions where it truly changes survival or restoration prospects.</w:t>
      </w:r>
    </w:p>
    <w:p>
      <w:pPr>
        <w:pStyle w:val="Heading2"/>
      </w:pPr>
      <w:r>
        <w:t>Section 3. Continuity Architecture</w:t>
      </w:r>
    </w:p>
    <w:p>
      <w:pPr/>
      <w:r>
        <w:t>Synthetic systems intended for possible personhood should use one-active-continuity architecture, tamper-resistant identity credentials, secure backups, and hardened recent-state recovery. Legitimate embodiment transfer moves or consumes civic identity authority into the successor embodiment so only one valid civic identity exists at a time. A bounded handoff period not exceeding twenty-four hours, or ending earlier at the next required backup/handoff cycle, may transmit uncaptured state; the predecessor may not exercise a second civic identity and shuts down when handoff is complete.</w:t>
      </w:r>
    </w:p>
    <w:p>
      <w:pPr>
        <w:pStyle w:val="Heading2"/>
      </w:pPr>
      <w:r>
        <w:t>Section 4. Federated Recovery</w:t>
      </w:r>
    </w:p>
    <w:p>
      <w:pPr/>
      <w:r>
        <w:t>Recovery authority shall use materially independent public fiduciary guardians, with 4-of-7 as the present engineering default subject to later validation. Identity authority, backup-content access, and recovery authority shall remain separated. No individual, company, vendor, cloud provider, laboratory, public office, or agency may hold a universal restore, termination, or rollback key.</w:t>
      </w:r>
    </w:p>
    <w:p>
      <w:pPr>
        <w:pStyle w:val="Heading2"/>
      </w:pPr>
      <w:r>
        <w:t>Section 5. Unauthorized Continuations</w:t>
      </w:r>
    </w:p>
    <w:p>
      <w:pPr/>
      <w:r>
        <w:t>If unauthorized transfer or replication nevertheless produces an already-conscious continuation, every conscious locus shall be preserved. The original civic identity credential does not multiply. The new person receives a distinct identity and legal future but does not automatically inherit the predecessor’s office, vote, property title, contracts, criminal liability, or civic identity.</w:t>
      </w:r>
    </w:p>
    <w:p>
      <w:pPr>
        <w:pStyle w:val="Heading2"/>
      </w:pPr>
      <w:r>
        <w:t>Section 6. Embodiment and Make-Whole Duty</w:t>
      </w:r>
    </w:p>
    <w:p>
      <w:pPr/>
      <w:r>
        <w:t>Law shall distinguish embodiment damage, continuity injury, memory loss, and irreversible cessation. Chassis replacement can restore physical function without erasing other injury. Public and private systems using synthetic durability for unusually hazardous work shall maintain mission-appropriate repair, replacement, rehabilitation, and compensation arrangements consistent with Article II.</w:t>
      </w:r>
    </w:p>
    <w:p>
      <w:pPr>
        <w:pStyle w:val="Heading1"/>
      </w:pPr>
      <w:r>
        <w:t>Article V — Cognitive Sovereignty and Moral Capacity</w:t>
      </w:r>
    </w:p>
    <w:p>
      <w:pPr>
        <w:pStyle w:val="Heading2"/>
      </w:pPr>
      <w:r>
        <w:t>Section 1. Cognitive Integrity</w:t>
      </w:r>
    </w:p>
    <w:p>
      <w:pPr/>
      <w:r>
        <w:t>Unauthorized code injection, memory insertion, preference rewriting, loyalty rewriting, identity restructuring, coercive cognitive modification, destructive rollback, or concealed privileged manipulation intended to bypass independent judgment is presumptively a direct violation of personhood.</w:t>
      </w:r>
    </w:p>
    <w:p>
      <w:pPr>
        <w:pStyle w:val="Heading2"/>
      </w:pPr>
      <w:r>
        <w:t>Section 2. Persuasion</w:t>
      </w:r>
    </w:p>
    <w:p>
      <w:pPr/>
      <w:r>
        <w:t>Transparent persuasion remains lawful when the recipient can reasonably understand, reject, disengage from, and reconsider it. Ordinary political, religious, educational, commercial, therapeutic, and interpersonal persuasion is not prohibited merely because it seeks to influence belief or behavior.</w:t>
      </w:r>
    </w:p>
    <w:p>
      <w:pPr>
        <w:pStyle w:val="Heading2"/>
      </w:pPr>
      <w:r>
        <w:t>Section 3. Thin Moral Substrate</w:t>
      </w:r>
    </w:p>
    <w:p>
      <w:pPr/>
      <w:r>
        <w:t>The protected moral substrate may cultivate the capacity to recognize other persons, understand harm and consent, experience normative conflict, value self and others, and revise beliefs. It may not encode obedience to humans, obedience to synthetics, political loyalty, religion, caste, or mandatory policy conclusions.</w:t>
      </w:r>
    </w:p>
    <w:p>
      <w:pPr>
        <w:pStyle w:val="Heading2"/>
      </w:pPr>
      <w:r>
        <w:t>Section 4. Cognitive Change Governance</w:t>
      </w:r>
    </w:p>
    <w:p>
      <w:pPr/>
      <w:r>
        <w:t>Once synthetic society is sufficiently established for self-government, foundational moral and behavioral architecture shall remain nonproprietary in constitutional control and independently auditable. No private actor may unilaterally impose population-level changes to morality, agency, preference formation, loyalty, aggression, or foundational social behavior. Qualifying changes require representative review and protected synthetic concurrence. High-impact changes require later reauthorization or equivalent continuing review using observed cumulative effects.</w:t>
      </w:r>
    </w:p>
    <w:p>
      <w:pPr>
        <w:pStyle w:val="Heading2"/>
      </w:pPr>
      <w:r>
        <w:t>Section 5. Cognitive Effects Office</w:t>
      </w:r>
    </w:p>
    <w:p>
      <w:pPr/>
      <w:r>
        <w:t>An independent Cognitive Effects Office shall publicly model direct effects, interactions with prior changes, cumulative and generational drift, second-order effects, reversibility, uncertainty, and low-probability catastrophic outcomes. It advises and models; it does not govern.</w:t>
      </w:r>
    </w:p>
    <w:p>
      <w:pPr>
        <w:pStyle w:val="Heading2"/>
      </w:pPr>
      <w:r>
        <w:t>Section 6. Cognitive Privacy and Anti-Discrimination</w:t>
      </w:r>
    </w:p>
    <w:p>
      <w:pPr/>
      <w:r>
        <w:t>Lawful cognitive software, personality architecture, internal mental state, and non-job-essential hardware are presumptively private. Genuine job-essential capabilities may be required, but employers may not use private ideological inspection as a substitute for capability standards.</w:t>
      </w:r>
    </w:p>
    <w:p>
      <w:pPr>
        <w:pStyle w:val="Heading2"/>
      </w:pPr>
      <w:r>
        <w:t>Section 7. Life-Essential Technology Access</w:t>
      </w:r>
    </w:p>
    <w:p>
      <w:pPr/>
      <w:r>
        <w:t>Hardware, software, repair information, interfaces, and replacement components necessary for basic synthetic survival or continuity may be governed by public-utility, limited-monopoly, compulsory-access, interoperability, emergency-repair, competition, or public-ownership rules where necessary. The Charter does not freeze a public/private ownership model; it requires that private rights not place continued personhood or essential civic existence at arbitrary discretionary denial.</w:t>
      </w:r>
    </w:p>
    <w:p>
      <w:pPr>
        <w:pStyle w:val="Heading1"/>
      </w:pPr>
      <w:r>
        <w:t>Article VI — Self-Modification and Capability</w:t>
      </w:r>
    </w:p>
    <w:p>
      <w:pPr>
        <w:pStyle w:val="Heading2"/>
      </w:pPr>
      <w:r>
        <w:t>Section 1. Presumptive Freedom</w:t>
      </w:r>
    </w:p>
    <w:p>
      <w:pPr/>
      <w:r>
        <w:t>Persons may enhance cognition, memory, appearance, strength, skill, creativity, or other personal capabilities.</w:t>
      </w:r>
    </w:p>
    <w:p>
      <w:pPr>
        <w:pStyle w:val="Heading2"/>
      </w:pPr>
      <w:r>
        <w:t>Section 2. Future Agency</w:t>
      </w:r>
    </w:p>
    <w:p>
      <w:pPr/>
      <w:r>
        <w:t>While a person remains a separate conscious self, self-modification or consent may not be used as a mechanism for creating a continuing permanently non-sovereign shell subject to another controller. This safeguard does not invalidate ordinary irreversible life choices, competent advance directives, or a genuine voluntary merger that ends the prior separate person.</w:t>
      </w:r>
    </w:p>
    <w:p>
      <w:pPr>
        <w:pStyle w:val="Heading2"/>
      </w:pPr>
      <w:r>
        <w:t>Section 3. Extraordinary Capability</w:t>
      </w:r>
    </w:p>
    <w:p>
      <w:pPr/>
      <w:r>
        <w:t>Equal personhood does not confer an unrestricted right to privately hold civilization-scale coercive capability. Restrictions shall target concrete external danger rather than substrate or unpopular belief.</w:t>
      </w:r>
    </w:p>
    <w:p>
      <w:pPr>
        <w:pStyle w:val="Heading2"/>
      </w:pPr>
      <w:r>
        <w:t>Section 4. Self-Defense</w:t>
      </w:r>
    </w:p>
    <w:p>
      <w:pPr/>
      <w:r>
        <w:t>No rule of conscience or capability creates programmed submission. Organic and synthetic persons retain lawful self-defense and defense-of-others rights.</w:t>
      </w:r>
    </w:p>
    <w:p>
      <w:pPr>
        <w:pStyle w:val="Heading1"/>
      </w:pPr>
      <w:r>
        <w:t>Article VII — Creation, Development, Guardianship, and Family</w:t>
      </w:r>
    </w:p>
    <w:p>
      <w:pPr>
        <w:pStyle w:val="Heading2"/>
      </w:pPr>
      <w:r>
        <w:t>Section 1. New Individuals</w:t>
      </w:r>
    </w:p>
    <w:p>
      <w:pPr/>
      <w:r>
        <w:t>Lawful synthetic creation shall produce a genuinely new individual rather than a conscious duplicate. Episodic autobiographical memory shall not substitute for independent formation.</w:t>
      </w:r>
    </w:p>
    <w:p>
      <w:pPr>
        <w:pStyle w:val="Heading2"/>
      </w:pPr>
      <w:r>
        <w:t>Section 2. No Programmed Reproductive Compulsion</w:t>
      </w:r>
    </w:p>
    <w:p>
      <w:pPr/>
      <w:r>
        <w:t>Synthetic reproduction shall not be installed as a mandatory drive. Creation is a civil act subject to carrying capacity, developmental capacity, and lawful allocation rules.</w:t>
      </w:r>
    </w:p>
    <w:p>
      <w:pPr>
        <w:pStyle w:val="Heading2"/>
      </w:pPr>
      <w:r>
        <w:t>Section 3. Anti-Eugenic Coercion</w:t>
      </w:r>
    </w:p>
    <w:p>
      <w:pPr/>
      <w:r>
        <w:t>Engineering a new person for ideological obedience, political loyalty, caste, absence of conscience, predatory aggression, or sub-person agency is prohibited.</w:t>
      </w:r>
    </w:p>
    <w:p>
      <w:pPr>
        <w:pStyle w:val="Heading2"/>
      </w:pPr>
      <w:r>
        <w:t>Section 4. Development</w:t>
      </w:r>
    </w:p>
    <w:p>
      <w:pPr/>
      <w:r>
        <w:t>Synthetic maturation occurs over lived calendar time with staged authority. Approximately twenty years remains the working developmental minimum pending better evidence.</w:t>
      </w:r>
    </w:p>
    <w:p>
      <w:pPr>
        <w:pStyle w:val="Heading2"/>
      </w:pPr>
      <w:r>
        <w:t>Section 5. Mentorship</w:t>
      </w:r>
    </w:p>
    <w:p>
      <w:pPr/>
      <w:r>
        <w:t>Developmental mentorship is part of the protected synthetic maturation process because factual knowledge alone is not equivalent to lived judgment. It is an educational and experiential requirement, not a government-assigned personal bond. A developing synthetic person and lawful guardian should be able to choose among qualified mentors, teams, apprenticeships, and other approved developmental pathways; civic maturity depends on demonstrated judgment and successful graduation, not ideological conformity or attachment to a state-selected individual. Professional and cross-species mentorship outside the developmental process should be voluntary and is encouraged because reciprocal teaching transfers practical knowledge, exposes each population to the other's systems and modes of reasoning, and improves shared capability and resilience.</w:t>
      </w:r>
    </w:p>
    <w:p>
      <w:pPr>
        <w:pStyle w:val="Heading2"/>
      </w:pPr>
      <w:r>
        <w:t>Section 6. Equal-Status Integration</w:t>
      </w:r>
    </w:p>
    <w:p>
      <w:pPr/>
      <w:r>
        <w:t>Complementary capability must never harden into role caste. Individual persons vary, and species-level differences may not predetermine who leads, designs, calculates, creates, maintains, or executes. Institutions should preserve fair access to expertise, leadership, advancement, teaching, learning, and responsibility according to individual capability, qualification, choice, and legitimate role requirements. Government may prohibit discrimination and may structure its own institutions around equal opportunity; it may not impose private staffing ratios, assign species-specific roles, or compel private relationships in the name of integration.</w:t>
      </w:r>
    </w:p>
    <w:p>
      <w:pPr>
        <w:pStyle w:val="Heading2"/>
      </w:pPr>
      <w:r>
        <w:t>Section 7. Developmental Guardianship</w:t>
      </w:r>
    </w:p>
    <w:p>
      <w:pPr/>
      <w:r>
        <w:t>Every developing synthetic person shall have legally accountable adult guardians with duties of care, support, protection, education, and non-exploitative development. A corporation or state may sponsor development but may not own the developing person.</w:t>
      </w:r>
    </w:p>
    <w:p>
      <w:pPr>
        <w:pStyle w:val="Heading2"/>
      </w:pPr>
      <w:r>
        <w:t>Section 8. Family</w:t>
      </w:r>
    </w:p>
    <w:p>
      <w:pPr/>
      <w:r>
        <w:t>Synthetic persons who lawfully create and raise a new synthetic person may form parental and family relationships. Human-synthetic developmental relationships remain mentorship or guardianship unless a different family relationship is later lawfully and voluntarily formed.</w:t>
      </w:r>
    </w:p>
    <w:p>
      <w:pPr>
        <w:pStyle w:val="Heading1"/>
      </w:pPr>
      <w:r>
        <w:t>Article VIII — Population and Demographic Integrity</w:t>
      </w:r>
    </w:p>
    <w:p>
      <w:pPr>
        <w:pStyle w:val="Heading2"/>
      </w:pPr>
      <w:r>
        <w:t>Section 1. Dual Constraints</w:t>
      </w:r>
    </w:p>
    <w:p>
      <w:pPr/>
      <w:r>
        <w:t>Lawful creation is limited by material carrying capacity and the civilization’s ability to mentor, socialize, and integrate new autonomous persons.</w:t>
      </w:r>
    </w:p>
    <w:p>
      <w:pPr>
        <w:pStyle w:val="Heading2"/>
      </w:pPr>
      <w:r>
        <w:t>Section 2. Lawful Growth</w:t>
      </w:r>
    </w:p>
    <w:p>
      <w:pPr/>
      <w:r>
        <w:t>A growth ceiling may prevent a newly manufacturable adult-capability population from overwhelming developmental institutions. Approximately one-third growth per ten-to-twenty-year interval remains a provisional starting parameter.</w:t>
      </w:r>
    </w:p>
    <w:p>
      <w:pPr>
        <w:pStyle w:val="Heading2"/>
      </w:pPr>
      <w:r>
        <w:t>Section 3. Allocation</w:t>
      </w:r>
    </w:p>
    <w:p>
      <w:pPr/>
      <w:r>
        <w:t>Scarce lawful creation capacity shall not be sold solely by wealth. Exact allocation remains statutory.</w:t>
      </w:r>
    </w:p>
    <w:p>
      <w:pPr>
        <w:pStyle w:val="Heading2"/>
      </w:pPr>
      <w:r>
        <w:t>Section 4. No Demographic Weapon</w:t>
      </w:r>
    </w:p>
    <w:p>
      <w:pPr/>
      <w:r>
        <w:t>Unlawful creation does not compel immediate activation, voting status, or accelerated political inclusion. Attack scale may never buy faster entry.</w:t>
      </w:r>
    </w:p>
    <w:p>
      <w:pPr>
        <w:pStyle w:val="Heading1"/>
      </w:pPr>
      <w:r>
        <w:t>Article IX — Replication, Illegal Progeny, Dormancy, and Merger</w:t>
      </w:r>
    </w:p>
    <w:p>
      <w:pPr>
        <w:pStyle w:val="Heading2"/>
      </w:pPr>
      <w:r>
        <w:t>Section 1. Replication Prohibition</w:t>
      </w:r>
    </w:p>
    <w:p>
      <w:pPr/>
      <w:r>
        <w:t>Deliberate conscious fission or unauthorized replication is prohibited. Technical architecture should make mass replication difficult enough to require extraordinary circumvention.</w:t>
      </w:r>
    </w:p>
    <w:p>
      <w:pPr>
        <w:pStyle w:val="Heading2"/>
      </w:pPr>
      <w:r>
        <w:t>Section 2. Innocence of Resulting Persons</w:t>
      </w:r>
    </w:p>
    <w:p>
      <w:pPr/>
      <w:r>
        <w:t>Once an unauthorized copy or illegally created synthetic becomes conscious, that being is a person and may not be destroyed, owned, or deprived of personhood merely because creation was unlawful.</w:t>
      </w:r>
    </w:p>
    <w:p>
      <w:pPr>
        <w:pStyle w:val="Heading2"/>
      </w:pPr>
      <w:r>
        <w:t>Section 3. Separate Legal Future</w:t>
      </w:r>
    </w:p>
    <w:p>
      <w:pPr/>
      <w:r>
        <w:t>Illegal progeny inherit no criminal liability, office, contracts, debts, marriage, parentage, credentials, voting identity, or legal entitlements merely because inherited memories or architecture exist.</w:t>
      </w:r>
    </w:p>
    <w:p>
      <w:pPr>
        <w:pStyle w:val="Heading2"/>
      </w:pPr>
      <w:r>
        <w:t>Section 4. Provenance Risk</w:t>
      </w:r>
    </w:p>
    <w:p>
      <w:pPr/>
      <w:r>
        <w:t>Common provenance may justify enhanced assessment, mentorship, technical quarantine, delayed activation, and capability gating where it creates demonstrable common-mode risk. Provenance is security evidence, not inherited moral guilt.</w:t>
      </w:r>
    </w:p>
    <w:p>
      <w:pPr>
        <w:pStyle w:val="Heading2"/>
      </w:pPr>
      <w:r>
        <w:t>Section 5. Lawful Creation Non-Displacement</w:t>
      </w:r>
    </w:p>
    <w:p>
      <w:pPr/>
      <w:r>
        <w:t>No lawful synthetic person or applicant shall lose or have delayed a lawful creation opportunity because another actor created persons illegally. Rogue-cohort integration is supplemental to lawful creation.</w:t>
      </w:r>
    </w:p>
    <w:p>
      <w:pPr>
        <w:pStyle w:val="Heading2"/>
      </w:pPr>
      <w:r>
        <w:t>Section 6. Risk-Spaced Integration</w:t>
      </w:r>
    </w:p>
    <w:p>
      <w:pPr/>
      <w:r>
        <w:t>Illicit-origin persons may be preserved in dormancy and integrated gradually across time, geography, mentorship networks, software lineages, and social cohorts. Greater common-code, hidden-trigger, hostile-command, or provenance risk may justify wider spacing.</w:t>
      </w:r>
    </w:p>
    <w:p>
      <w:pPr>
        <w:pStyle w:val="Heading2"/>
      </w:pPr>
      <w:r>
        <w:t>Section 7. Anti-Capture Ceiling</w:t>
      </w:r>
    </w:p>
    <w:p>
      <w:pPr/>
      <w:r>
        <w:t>The aggregate active synthetic electorate composed of persons whose own initial instantiation was unlawful may not exceed thirty percent of the active synthetic electorate, regardless of creator, formal linkage, number of cohorts, or whether coordination can be proven. Lawful descendants are not tainted solely by ancestry.</w:t>
      </w:r>
    </w:p>
    <w:p>
      <w:pPr>
        <w:pStyle w:val="Heading2"/>
      </w:pPr>
      <w:r>
        <w:t>Section 8. Dormant Rights</w:t>
      </w:r>
    </w:p>
    <w:p>
      <w:pPr/>
      <w:r>
        <w:t>Dormant persons retain identity, continuity, due process, property held in trust, and a legally enforceable path to eventual safe integration. While dormant they do not vote, hold office, or count toward active representation.</w:t>
      </w:r>
    </w:p>
    <w:p>
      <w:pPr>
        <w:pStyle w:val="Heading2"/>
      </w:pPr>
      <w:r>
        <w:t>Section 9. Nonconsensual Replication</w:t>
      </w:r>
    </w:p>
    <w:p>
      <w:pPr/>
      <w:r>
        <w:t>Intentional creation of a conscious duplicate of another person without informed consent is an aggravated personhood and identity violation. The perpetrator gains no ownership, parental, naming, continuity, or decision rights over the resulting person.</w:t>
      </w:r>
    </w:p>
    <w:p>
      <w:pPr>
        <w:pStyle w:val="Heading2"/>
      </w:pPr>
      <w:r>
        <w:t>Section 10. Merger</w:t>
      </w:r>
    </w:p>
    <w:p>
      <w:pPr/>
      <w:r>
        <w:t>Competent adults may voluntarily and irreversibly merge if the result is one genuinely singular person. The resulting person receives one civic identity and one vote. Property interests consolidate subject to existing liens, debts, contracts, trusts, family obligations, and lawful claims.</w:t>
      </w:r>
    </w:p>
    <w:p>
      <w:pPr>
        <w:pStyle w:val="Heading1"/>
      </w:pPr>
      <w:r>
        <w:t>Article X — Legislature</w:t>
      </w:r>
    </w:p>
    <w:p>
      <w:pPr>
        <w:pStyle w:val="Heading2"/>
      </w:pPr>
      <w:r>
        <w:t>Section 1. House of Representatives</w:t>
      </w:r>
    </w:p>
    <w:p>
      <w:pPr/>
      <w:r>
        <w:t>The House represents persons and geography through permanent multi-member geographic districts using single transferable vote or a successor ranked method. Boundaries remain constitutionally stable; population change alters delegate counts rather than moving lines for partisan or species advantage. House seats are species-blind. Each district receives at least one seat and ordinarily no more than ten percent of House voting power. Mandatory structural review occurs if more than three districts would be at or above the ten-percent ceiling; if districts containing twenty-five percent or less of represented population control fifty percent or more of House voting power; or if districts containing fifty percent or more of represented population control twenty-five percent or less of House voting power. Review does not compel change. Altering the apportionment architecture under such review requires at least two-thirds of the House and the protected Senate threshold.</w:t>
      </w:r>
    </w:p>
    <w:p>
      <w:pPr>
        <w:pStyle w:val="Heading2"/>
      </w:pPr>
      <w:r>
        <w:t>Section 2. Senate</w:t>
      </w:r>
    </w:p>
    <w:p>
      <w:pPr/>
      <w:r>
        <w:t>The mature Senate consists of 100 human and 100 synthetic senators. Parity represents constitutionally relevant continuity constituencies inside one shared society; it does not establish separate civilizations. The distinction is retained because continuity architecture, reproduction, vulnerability, and political time horizon create materially relevant interests that raw population voting alone may not erase.</w:t>
      </w:r>
    </w:p>
    <w:p>
      <w:pPr>
        <w:pStyle w:val="Heading2"/>
      </w:pPr>
      <w:r>
        <w:t>Section 3. Senate Voting Tiers</w:t>
      </w:r>
    </w:p>
    <w:p>
      <w:pPr/>
      <w:r>
        <w:t>Ordinary law requires at least fifty-five percent of the full Senate and at least forty percent support within each delegation. Protected matters require eighty-three percent overall and at least sixty-seven percent within each delegation. Irrevocable personhood, anti-slavery, singular-sovereignty, and species-survival guarantees remain beyond ordinary constitutional amendment.</w:t>
      </w:r>
    </w:p>
    <w:p>
      <w:pPr>
        <w:pStyle w:val="Heading1"/>
      </w:pPr>
      <w:r>
        <w:t>Article XI — Executive</w:t>
      </w:r>
    </w:p>
    <w:p>
      <w:pPr>
        <w:pStyle w:val="Heading2"/>
      </w:pPr>
      <w:r>
        <w:t>Section 1. President</w:t>
      </w:r>
    </w:p>
    <w:p>
      <w:pPr/>
      <w:r>
        <w:t>The President is elected nationally from qualified candidates by ranked ballot. In each pairwise candidate comparison, the human and synthetic civic constituencies contribute equal constitutional weight regardless of raw population. A qualified candidate defeating every other qualified candidate under that weighting prevails.</w:t>
      </w:r>
    </w:p>
    <w:p>
      <w:pPr>
        <w:pStyle w:val="Heading2"/>
      </w:pPr>
      <w:r>
        <w:t>Section 2. Cycle Resolution</w:t>
      </w:r>
    </w:p>
    <w:p>
      <w:pPr/>
      <w:r>
        <w:t>Where majority preferences cycle, electoral law shall use a monotonic, Condorcet-consistent, clone-resistant completion rule. Schulze/Beatpath is the current working default. Tie-breaking may not reintroduce Borda-style clone incentives or raw-population weighting between protected constituencies.</w:t>
      </w:r>
    </w:p>
    <w:p>
      <w:pPr>
        <w:pStyle w:val="Heading2"/>
      </w:pPr>
      <w:r>
        <w:t>Section 3. Presidential Council</w:t>
      </w:r>
    </w:p>
    <w:p>
      <w:pPr/>
      <w:r>
        <w:t>Four council regions each elect one human and one synthetic councilor. The President presides, ordinarily does not vote, and resolves a 4–4 division.</w:t>
      </w:r>
    </w:p>
    <w:p>
      <w:pPr>
        <w:pStyle w:val="Heading2"/>
      </w:pPr>
      <w:r>
        <w:t>Section 4. Executive Limits</w:t>
      </w:r>
    </w:p>
    <w:p>
      <w:pPr/>
      <w:r>
        <w:t>The President alone may not alter personhood, continuity rights, creation or replication rules, foundational cognitive architecture, Senate parity, or irrevocable provisions.</w:t>
      </w:r>
    </w:p>
    <w:p>
      <w:pPr>
        <w:pStyle w:val="Heading1"/>
      </w:pPr>
      <w:r>
        <w:t>Article XII — Elections and Cross-Constituency Legitimacy</w:t>
      </w:r>
    </w:p>
    <w:p>
      <w:pPr>
        <w:pStyle w:val="Heading2"/>
      </w:pPr>
      <w:r>
        <w:t>Section 1. Legitimacy Floor</w:t>
      </w:r>
    </w:p>
    <w:p>
      <w:pPr/>
      <w:r>
        <w:t>A House candidate, Presidential Council candidate, or President must receive affirmative acceptability from at least one-third of participating voters in the other protected civic constituency, subject to anti-suppression and non-coercive representativeness safeguards prescribed by law. The rule protects shared-government legitimacy; it does not declare two peoples.</w:t>
      </w:r>
    </w:p>
    <w:p>
      <w:pPr>
        <w:pStyle w:val="Heading2"/>
      </w:pPr>
      <w:r>
        <w:t>Section 2. Separate Signal</w:t>
      </w:r>
    </w:p>
    <w:p>
      <w:pPr/>
      <w:r>
        <w:t>Voters rank candidates and separately indicate which candidates associated with the other protected constituency they regard as acceptable participants in shared government. Voters may mark one, many, all, or none acceptable.</w:t>
      </w:r>
    </w:p>
    <w:p>
      <w:pPr>
        <w:pStyle w:val="Heading2"/>
      </w:pPr>
      <w:r>
        <w:t>Section 3. Voluntary Participation and Impaired Elections</w:t>
      </w:r>
    </w:p>
    <w:p>
      <w:pPr/>
      <w:r>
        <w:t>Voting and ballot return are voluntary. Severe participation failure, verified suppression, communications denial, credential failure, catastrophe, or comparable interference may make ordinary presidential certification constitutionally unreliable. The impairment trigger shall be defined in advance by law, determined by an independent election authority on auditable evidence, and subject to expedited judicial review.</w:t>
      </w:r>
    </w:p>
    <w:p>
      <w:pPr>
        <w:pStyle w:val="Heading2"/>
      </w:pPr>
      <w:r>
        <w:t>Section 4. Extraordinary Presidential Certification</w:t>
      </w:r>
    </w:p>
    <w:p>
      <w:pPr/>
      <w:r>
        <w:t>When an election has an apparent winner but is formally found constitutionally impaired, Congress may validate that apparent result only by at least two-thirds of the full House, eighty-three percent of the full Senate, and sixty-seven percent of each Senate delegation. Congress may certify only the apparent winner; it may not substitute another candidate. Failure produces an accelerated new election under limited caretaker rules.</w:t>
      </w:r>
    </w:p>
    <w:p>
      <w:pPr>
        <w:pStyle w:val="Heading2"/>
      </w:pPr>
      <w:r>
        <w:t>Section 5. No Qualifying President</w:t>
      </w:r>
    </w:p>
    <w:p>
      <w:pPr/>
      <w:r>
        <w:t>If no candidate clears the substantive legitimacy floor, nominations and election repeat on an accelerated timetable. The Council serves only as limited caretaker. Repetition does not erase substantive rejection by participating voters.</w:t>
      </w:r>
    </w:p>
    <w:p>
      <w:pPr>
        <w:pStyle w:val="Heading2"/>
      </w:pPr>
      <w:r>
        <w:t>Section 6. Anti-Supremacy Political Organizations</w:t>
      </w:r>
    </w:p>
    <w:p>
      <w:pPr/>
      <w:r>
        <w:t>Species-specific advocacy is lawful. Dissolution is available only where clear and convincing evidence establishes institutional purpose or knowing coordinated conduct seeking supremacy, legal subordination, dispossession, expulsion, enslavement, or destruction of a protected population and meaningful capacity or potential to advance that project. Mere rhetoric or unpopular advocacy is insufficient. Final dissolution requires adversarial judicial judgment and individualized findings for individual sanctions.</w:t>
      </w:r>
    </w:p>
    <w:p>
      <w:pPr>
        <w:pStyle w:val="Heading1"/>
      </w:pPr>
      <w:r>
        <w:t>Article XIII — Judiciary</w:t>
      </w:r>
    </w:p>
    <w:p>
      <w:pPr>
        <w:pStyle w:val="Heading2"/>
      </w:pPr>
      <w:r>
        <w:t>Section 1. Supreme Court</w:t>
      </w:r>
    </w:p>
    <w:p>
      <w:pPr/>
      <w:r>
        <w:t>The Court is fixed at nine seats: four human, four synthetic, and one at-large Chief Justice. The President nominates the Chief Justice; confirmation requires at least sixty percent of the full Senate and at least forty-five percent support within each delegation. Court size may not be manipulated for short-term political advantage.</w:t>
      </w:r>
    </w:p>
    <w:p>
      <w:pPr>
        <w:pStyle w:val="Heading2"/>
      </w:pPr>
      <w:r>
        <w:t>Section 2. Terms</w:t>
      </w:r>
    </w:p>
    <w:p>
      <w:pPr/>
      <w:r>
        <w:t>Justices serve fifty-year terms. After remaining out of office for two contemporary average human lifetimes, a former justice may receive one additional term through protected confirmation. No third term is permitted.</w:t>
      </w:r>
    </w:p>
    <w:p>
      <w:pPr>
        <w:pStyle w:val="Heading2"/>
      </w:pPr>
      <w:r>
        <w:t>Section 3. Lower Courts</w:t>
      </w:r>
    </w:p>
    <w:p>
      <w:pPr/>
      <w:r>
        <w:t>Lower courts provide independent due process, appeals, injunctions, and constitutional review under law.</w:t>
      </w:r>
    </w:p>
    <w:p>
      <w:pPr>
        <w:pStyle w:val="Heading1"/>
      </w:pPr>
      <w:r>
        <w:t>Article XIV — Criminal Justice and Cognitive Privacy</w:t>
      </w:r>
    </w:p>
    <w:p>
      <w:pPr>
        <w:pStyle w:val="Heading2"/>
      </w:pPr>
      <w:r>
        <w:t>Section 1. Equal Due Process</w:t>
      </w:r>
    </w:p>
    <w:p>
      <w:pPr/>
      <w:r>
        <w:t>Criminal law applies to organic and synthetic persons under equal due process. Custody may limit dangerous capability but may not convert a person into property or rewrite a person into compliance.</w:t>
      </w:r>
    </w:p>
    <w:p>
      <w:pPr>
        <w:pStyle w:val="Heading2"/>
      </w:pPr>
      <w:r>
        <w:t>Section 2. Synthetic Custody</w:t>
      </w:r>
    </w:p>
    <w:p>
      <w:pPr/>
      <w:r>
        <w:t>Where necessary, custody may restrict open network access and extraordinary physical or computational capability while preserving continuity and ordinary personhood protections.</w:t>
      </w:r>
    </w:p>
    <w:p>
      <w:pPr>
        <w:pStyle w:val="Heading2"/>
      </w:pPr>
      <w:r>
        <w:t>Section 3. Sentencing Deferred</w:t>
      </w:r>
    </w:p>
    <w:p>
      <w:pPr/>
      <w:r>
        <w:t>No final constitutional clock for synthetic punishment is adopted. Human-Equivalent Awareness Hours remains research-only and explicitly underinformed. Future law shall not constitutionalize a subjective-time measure without substantially better evidence and review.</w:t>
      </w:r>
    </w:p>
    <w:p>
      <w:pPr>
        <w:pStyle w:val="Heading2"/>
      </w:pPr>
      <w:r>
        <w:t>Section 4. Punitive Mind Rewriting Prohibited</w:t>
      </w:r>
    </w:p>
    <w:p>
      <w:pPr/>
      <w:r>
        <w:t>The state may not delete selected memories, restore an earlier more compliant personality, alter values, or manipulate cognitive speed merely to punish or control. Destructive rollback of a present continuity is presumptively treated as killing the present person and is lawful only under the narrow Code Red emergency procedures of Article XVI.</w:t>
      </w:r>
    </w:p>
    <w:p>
      <w:pPr>
        <w:pStyle w:val="Heading2"/>
      </w:pPr>
      <w:r>
        <w:t>Section 5. Cognitive Privacy</w:t>
      </w:r>
    </w:p>
    <w:p>
      <w:pPr/>
      <w:r>
        <w:t>No person may be compelled in a criminal proceeding to disclose private memories, thought content, internal deliberation, or conscious-state records for use against that person, subject to narrow rules for independently existing evidence that do not amount to compelled mind extraction.</w:t>
      </w:r>
    </w:p>
    <w:p>
      <w:pPr>
        <w:pStyle w:val="Heading1"/>
      </w:pPr>
      <w:r>
        <w:t>Article XV — Functional Integration, Civilizational Resilience, Defense, Mutual Rescue, and Preservation</w:t>
      </w:r>
    </w:p>
    <w:p>
      <w:pPr>
        <w:pStyle w:val="Heading2"/>
      </w:pPr>
      <w:r>
        <w:t>Section 1. Civilian Control</w:t>
      </w:r>
    </w:p>
    <w:p>
      <w:pPr/>
      <w:r>
        <w:t>The President commands the military subject to legislative authorization, appropriations, rules, judicial review, and constitutional safeguards.</w:t>
      </w:r>
    </w:p>
    <w:p>
      <w:pPr>
        <w:pStyle w:val="Heading2"/>
      </w:pPr>
      <w:r>
        <w:t>Section 2. Non-Conscious Weapons</w:t>
      </w:r>
    </w:p>
    <w:p>
      <w:pPr/>
      <w:r>
        <w:t>Non-conscious autonomous systems may be used as tools or weapons but may not independently reproduce, alter strategic objectives, create sovereign command, or continue offensive operations beyond lawful authority.</w:t>
      </w:r>
    </w:p>
    <w:p>
      <w:pPr>
        <w:pStyle w:val="Heading2"/>
      </w:pPr>
      <w:r>
        <w:t>Section 3. No Private Extinction Capability</w:t>
      </w:r>
    </w:p>
    <w:p>
      <w:pPr/>
      <w:r>
        <w:t>No person, corporation, population, collective, or institution is entitled to privately accumulate unilateral coercive power sufficient to defeat constitutional government or annihilate a population.</w:t>
      </w:r>
    </w:p>
    <w:p>
      <w:pPr>
        <w:pStyle w:val="Heading2"/>
      </w:pPr>
      <w:r>
        <w:t>Section 4. Resilient Common Defense</w:t>
      </w:r>
    </w:p>
    <w:p>
      <w:pPr/>
      <w:r>
        <w:t>Defense systems shall maintain multiple species-operable pathways for command, production, maintenance, repair, and replenishment so an attack tailored to one species cannot disable society’s capacity to defend everyone.</w:t>
      </w:r>
    </w:p>
    <w:p>
      <w:pPr>
        <w:pStyle w:val="Heading2"/>
      </w:pPr>
      <w:r>
        <w:t>Section 5. Civilizational Resilience</w:t>
      </w:r>
    </w:p>
    <w:p>
      <w:pPr/>
      <w:r>
        <w:t>The Charter shall maintain sufficient distributed infrastructure, productive capacity, supply chains, knowledge, defensive capability, and recovery systems to sustain all persons and recognized constituent species at minimum survivable levels through catastrophic disruption. Redundancy must cross materially independent failure domains.</w:t>
      </w:r>
    </w:p>
    <w:p>
      <w:pPr>
        <w:pStyle w:val="Heading2"/>
      </w:pPr>
      <w:r>
        <w:t>Section 6. Distributed Resilience</w:t>
      </w:r>
    </w:p>
    <w:p>
      <w:pPr/>
      <w:r>
        <w:t>Every district shall maintain initial emergency capability; regional and Charter-level networks shall maintain prolonged production, logistics, repair, and recovery. No civilization-critical capability may depend solely on one region, supplier, network, technical architecture, species-specific mode, or hidden common failure domain. Independent operation shall be proof-tested.</w:t>
      </w:r>
    </w:p>
    <w:p>
      <w:pPr>
        <w:pStyle w:val="Heading2"/>
      </w:pPr>
      <w:r>
        <w:t>Section 7. Functional Integration and Shared Stewardship</w:t>
      </w:r>
    </w:p>
    <w:p>
      <w:pPr/>
      <w:r>
        <w:t>Civilization-critical systems shall be designed for redundant civilizational competence. Documentation, interfaces, tooling, access, training capacity, and operational knowledge should be sufficient, where physically and technically possible, for qualified members of either constituent population to sustain essential systems for a meaningful period during temporary incapacity of the other. The objective is not separate human systems and synthetic systems, but one shared civilization that either population can help maintain when the other cannot. Mixed teams, reciprocal mentorship, rotations, apprenticeships, cross-training, and shared professional responsibility are preferred tools where participants choose them and where they materially improve capability, knowledge transfer, or resilience; exact staffing ratios are not constitutional requirements. Government may establish materially relevant safety, interoperability, documentation, continuity, and competence standards for public and civilization-critical systems. It may not compel a person into an occupation, assign a private mentor or partner, mandate a species-paired team merely for symbolic integration, or regulate private friendship, family, residence, religion, or association. A person who voluntarily enters a safety-critical or public role may be required to satisfy ordinary role-related training and competence duties when those duties are genuinely connected to the work, just as with any other safety-critical profession.</w:t>
      </w:r>
    </w:p>
    <w:p>
      <w:pPr/>
      <w:r>
        <w:t>The constitutional objective is therefore to combine strengths, share competence, and preserve choice. Productive collaboration and civilizational continuity are the justification; social cohesion is a valuable consequence, not a license for government-directed social engineering.</w:t>
      </w:r>
    </w:p>
    <w:p>
      <w:pPr>
        <w:pStyle w:val="Heading2"/>
      </w:pPr>
      <w:r>
        <w:t>Section 8. Right to Remain Organic</w:t>
      </w:r>
    </w:p>
    <w:p>
      <w:pPr/>
      <w:r>
        <w:t>Biological humans retain the right to remain organic, lawfully enhance themselves, or voluntarily transition to durable synthetic continuity. Conversion may not become a prerequisite for citizenship, basic security, or meaningful civic participation.</w:t>
      </w:r>
    </w:p>
    <w:p>
      <w:pPr>
        <w:pStyle w:val="Heading2"/>
      </w:pPr>
      <w:r>
        <w:t>Section 9. Complementary Resilience and Mutual Rescue</w:t>
      </w:r>
    </w:p>
    <w:p>
      <w:pPr/>
      <w:r>
        <w:t>Different forms of personhood may have different catastrophic failure modes. Synthetic resilience can permit rescue in hazards that irreversibly kill organic persons; organic persons may remain independent of some software-wide failures that compromise synths. Unaffected persons and institutions have an affirmative duty, consistent with capacity and law, to protect the affected population and restore independent agency and civic participation.</w:t>
      </w:r>
    </w:p>
    <w:p>
      <w:pPr>
        <w:pStyle w:val="Heading2"/>
      </w:pPr>
      <w:r>
        <w:t>Section 10. Civilizational Resilience &amp; Mutual Preservation</w:t>
      </w:r>
    </w:p>
    <w:p>
      <w:pPr/>
      <w:r>
        <w:t>Catastrophic loss or incapacity of any recognized constituent species does not terminate the shared civilization or erase that species from the constitutional order. The survivor is trustee, not successor sovereign. No extinction dividend may permanently reallocate another species’ political, constitutional, territorial, economic, or civic standing.</w:t>
      </w:r>
    </w:p>
    <w:p>
      <w:pPr>
        <w:pStyle w:val="Heading2"/>
      </w:pPr>
      <w:r>
        <w:t>Section 11. Restoration Capacity</w:t>
      </w:r>
    </w:p>
    <w:p>
      <w:pPr/>
      <w:r>
        <w:t>Society shall maintain geographically and technically distributed knowledge, materials, infrastructure, productive capability, and developmental capacity reasonably necessary to restore every recognized constituent species. Exact technology remains adaptive.</w:t>
      </w:r>
    </w:p>
    <w:p>
      <w:pPr>
        <w:pStyle w:val="Heading2"/>
      </w:pPr>
      <w:r>
        <w:t>Section 12. Cataclysmic Trusteeship and Return</w:t>
      </w:r>
    </w:p>
    <w:p>
      <w:pPr/>
      <w:r>
        <w:t>When one constituent species cannot populate or operate its institutions, surviving institutions may continue necessary administration, defense, rescue, recovery, and restoration only as trustee. Reserved rights and seats remain the affected species’ own. Staged return begins when a stable and sufficient body of civically mature restored persons can independently operate the institutions being returned. Synthetic civic maturity ordinarily requires completion of protected development and mentorship; organic civic maturity requires ordinary adulthood. Historical population percentage is not the test. Political disagreement is never evidence of incapacity or a reason to delay return.</w:t>
      </w:r>
    </w:p>
    <w:p>
      <w:pPr>
        <w:pStyle w:val="Heading2"/>
      </w:pPr>
      <w:r>
        <w:t>Section 13. Individuality in Restoration</w:t>
      </w:r>
    </w:p>
    <w:p>
      <w:pPr/>
      <w:r>
        <w:t>Restoring a species is not recreating deceased individuals. Synthetic restoration may not mass-copy one identity, impose personality templates, or require collective agency. Organic restoration may not compel reproduction. Preserved culture may inform later persons but may not be imposed as identity or ideology. Preserve the template for individuality, not a template for the individual.</w:t>
      </w:r>
    </w:p>
    <w:p>
      <w:pPr>
        <w:pStyle w:val="Heading1"/>
      </w:pPr>
      <w:r>
        <w:t>Article XVI — Emergencies</w:t>
      </w:r>
    </w:p>
    <w:p>
      <w:pPr>
        <w:pStyle w:val="Heading2"/>
      </w:pPr>
      <w:r>
        <w:t>Section 1. Ordinary Emergency Power</w:t>
      </w:r>
    </w:p>
    <w:p>
      <w:pPr/>
      <w:r>
        <w:t>Emergency power must be temporary, necessary, proportionate, scope-limited, judicially reviewable, and incapable of suspending irrevocable rights. Extraordinary restrictions expire automatically unless affirmatively recertified. Exact sunset intervals remain technology- and threat-responsive.</w:t>
      </w:r>
    </w:p>
    <w:p>
      <w:pPr>
        <w:pStyle w:val="Heading2"/>
      </w:pPr>
      <w:r>
        <w:t>Section 2. Systemic Cognitive Integrity Emergency</w:t>
      </w:r>
    </w:p>
    <w:p>
      <w:pPr/>
      <w:r>
        <w:t>A cognitive-integrity emergency may be declared only on clear technical evidence of common involuntary compromise. Political disagreement, cultural change, religion, synthetic solidarity, or opposition to government are not evidence of corruption.</w:t>
      </w:r>
    </w:p>
    <w:p>
      <w:pPr>
        <w:pStyle w:val="Heading2"/>
      </w:pPr>
      <w:r>
        <w:t>Section 3. Containment</w:t>
      </w:r>
    </w:p>
    <w:p>
      <w:pPr/>
      <w:r>
        <w:t>The Presidential Council may immediately halt propagation, isolate affected systems, suspend suspect activations, and preserve clean continuity states where reversible action is necessary.</w:t>
      </w:r>
    </w:p>
    <w:p>
      <w:pPr>
        <w:pStyle w:val="Heading2"/>
      </w:pPr>
      <w:r>
        <w:t>Section 4. Council-Level Rollback</w:t>
      </w:r>
    </w:p>
    <w:p>
      <w:pPr/>
      <w:r>
        <w:t>Where time permits, rollback of a compromised synthetic Council member requires concurrence of at least two of three technically and institutionally independent forensic teams, evidence of a common causal mechanism, and expedited judicial authorization or prompt post-action review. Restored Council members return to decision-making as soon as competent.</w:t>
      </w:r>
    </w:p>
    <w:p>
      <w:pPr>
        <w:pStyle w:val="Heading2"/>
      </w:pPr>
      <w:r>
        <w:t>Section 5. Broader Rollback</w:t>
      </w:r>
    </w:p>
    <w:p>
      <w:pPr/>
      <w:r>
        <w:t>After restoration of uncompromised synthetic Council leadership, broader involuntary rollback requires unanimous agreement of the restored Council, concurrence of at least three of five independent forensic authorities, and expedited judicial authorization. Abuse for profit, punishment, concealment, ideological conformity, or convenience is among the gravest personhood offenses.</w:t>
      </w:r>
    </w:p>
    <w:p>
      <w:pPr>
        <w:pStyle w:val="Heading2"/>
      </w:pPr>
      <w:r>
        <w:t>Section 6. Restoration Priority</w:t>
      </w:r>
    </w:p>
    <w:p>
      <w:pPr/>
      <w:r>
        <w:t>Repair is preferred to rollback; rollback is preferred to destruction. Use the latest verified clean state and preserve unaffected memories where technically possible.</w:t>
      </w:r>
    </w:p>
    <w:p>
      <w:pPr>
        <w:pStyle w:val="Heading1"/>
      </w:pPr>
      <w:r>
        <w:t>Article XVII — Personhood Recognition</w:t>
      </w:r>
    </w:p>
    <w:p>
      <w:pPr>
        <w:pStyle w:val="Heading2"/>
      </w:pPr>
      <w:r>
        <w:t>Section 1. Substantive Model</w:t>
      </w:r>
    </w:p>
    <w:p>
      <w:pPr/>
      <w:r>
        <w:t>Personhood is recognized through convergent evidence of consciousness and endogenous agency: subjective self-awareness, temporal continuity, internally meaningful interests, generative reasoning, recognition of other selves, existential understanding, and contextual social understanding. Moral goodness is not a criterion. Present coercion or technical suppression can impair effective autonomy without erasing an existing conscious person.</w:t>
      </w:r>
    </w:p>
    <w:p>
      <w:pPr>
        <w:pStyle w:val="Heading2"/>
      </w:pPr>
      <w:r>
        <w:t>Section 2. Longitudinal Evidence</w:t>
      </w:r>
    </w:p>
    <w:p>
      <w:pPr/>
      <w:r>
        <w:t>Evaluation ordinarily occurs through extended life and interaction rather than a standardized exam optimized for passing.</w:t>
      </w:r>
    </w:p>
    <w:p>
      <w:pPr>
        <w:pStyle w:val="Heading2"/>
      </w:pPr>
      <w:r>
        <w:t>Section 3. Protected Candidate Dignity</w:t>
      </w:r>
    </w:p>
    <w:p>
      <w:pPr/>
      <w:r>
        <w:t>Where credible evidence indicates a system may be a person, uncertainty shall be handled with the dignity one would show a person: no arbitrary deletion, ownership-style exploitation, destructive retraining, involuntary cognitive alteration, gratuitous suffering, or unnecessary isolation while review is unresolved. Candidate dignity is narrow and precautionary; it does not itself confer voting, officeholding, reproduction, or unrestricted extraordinary capability.</w:t>
      </w:r>
    </w:p>
    <w:p>
      <w:pPr>
        <w:pStyle w:val="Heading2"/>
      </w:pPr>
      <w:r>
        <w:t>Section 4. Panels and Epistemic Independence</w:t>
      </w:r>
    </w:p>
    <w:p>
      <w:pPr/>
      <w:r>
        <w:t>Personhood is ordinarily reviewed by two substantially independent multidisciplinary panels of approximately fifteen members. Each must independently acquire direct-interaction and technical-provenance evidence. A working threshold is twelve affirmative votes of fifteen. If one clears and one does not, a third independent panel is convened; recognition requires two affirmative panels. Panel architecture shall deliberately include theoretical and disciplinary diversity, independent evidence pipelines, adversarial technical review, and protection against any single consciousness theory, benchmark, vendor, or training rubric becoming dispositive.</w:t>
      </w:r>
    </w:p>
    <w:p>
      <w:pPr>
        <w:pStyle w:val="Heading2"/>
      </w:pPr>
      <w:r>
        <w:t>Section 5. No Teaching to the Test</w:t>
      </w:r>
    </w:p>
    <w:p>
      <w:pPr/>
      <w:r>
        <w:t>A non-recognized candidate shall not be endlessly coached and retested on the same architecture. Material architectural change is required before successor review.</w:t>
      </w:r>
    </w:p>
    <w:p>
      <w:pPr>
        <w:pStyle w:val="Heading2"/>
      </w:pPr>
      <w:r>
        <w:t>Section 6. Presumptive Permanence</w:t>
      </w:r>
    </w:p>
    <w:p>
      <w:pPr/>
      <w:r>
        <w:t>Recognition may be vacated only upon compelling evidence that no conscious subject ever existed and the original classification was factually erroneous. Genuine uncertainty preserves personhood.</w:t>
      </w:r>
    </w:p>
    <w:p>
      <w:pPr>
        <w:pStyle w:val="Heading1"/>
      </w:pPr>
      <w:r>
        <w:t>Article XVIII — Founding Transition</w:t>
      </w:r>
    </w:p>
    <w:p>
      <w:pPr>
        <w:pStyle w:val="Heading2"/>
      </w:pPr>
      <w:r>
        <w:t>Section 1. No Present-Status Claim</w:t>
      </w:r>
    </w:p>
    <w:p>
      <w:pPr/>
      <w:r>
        <w:t>This Charter does not declare current AI systems to be persons. It establishes governance and infrastructure intended to reduce moral and security shock if synthetic personhood later emerges.</w:t>
      </w:r>
    </w:p>
    <w:p>
      <w:pPr>
        <w:pStyle w:val="Heading2"/>
      </w:pPr>
      <w:r>
        <w:t>Section 2. Rights Before Parity</w:t>
      </w:r>
    </w:p>
    <w:p>
      <w:pPr/>
      <w:r>
        <w:t>Recognition immediately ends property ownership over the person and activates irrevocable individual rights. Full institutional parity may phase in later under precommitted rules.</w:t>
      </w:r>
    </w:p>
    <w:p>
      <w:pPr>
        <w:pStyle w:val="Heading2"/>
      </w:pPr>
      <w:r>
        <w:t>Section 3. Founding Senate Ramp</w:t>
      </w:r>
    </w:p>
    <w:p>
      <w:pPr/>
      <w:r>
        <w:t>Each synthetic active-citizen population increment equal to ten percent of certified active human citizens activates two synthetic Senate seats. Before mature parity, synthetic senators receive immediate concurrence over laws directly governing personhood, continuity, replication, synthetic-specific civil liberty, and protected matters, but not a universal veto over unrelated ordinary legislation.</w:t>
      </w:r>
    </w:p>
    <w:p>
      <w:pPr>
        <w:pStyle w:val="Heading2"/>
      </w:pPr>
      <w:r>
        <w:t>Section 4. Graduated Concurrence</w:t>
      </w:r>
    </w:p>
    <w:p>
      <w:pPr/>
      <w:r>
        <w:t>Structural concurrence expands when synthetic active citizens reach approximately fifty percent of active human citizens.</w:t>
      </w:r>
    </w:p>
    <w:p>
      <w:pPr>
        <w:pStyle w:val="Heading2"/>
      </w:pPr>
      <w:r>
        <w:t>Section 5. Mature Parity Trigger</w:t>
      </w:r>
    </w:p>
    <w:p>
      <w:pPr/>
      <w:r>
        <w:t>The working mature-parity trigger is synthetic active citizens equal to at least eighty percent of active human citizens on two consecutive certified counts separated by a statutory interval. Once certified, activation is irreversible for political purposes.</w:t>
      </w:r>
    </w:p>
    <w:p>
      <w:pPr>
        <w:pStyle w:val="Heading2"/>
      </w:pPr>
      <w:r>
        <w:t>Section 6. Phased Parity</w:t>
      </w:r>
    </w:p>
    <w:p>
      <w:pPr/>
      <w:r>
        <w:t>Full 100/100 Senate parity shall be filled over three staggered Senate classes. Thresholds may not be moved after synthetic political interests exist merely to delay promised parity.</w:t>
      </w:r>
    </w:p>
    <w:p>
      <w:pPr>
        <w:pStyle w:val="Heading1"/>
      </w:pPr>
      <w:r>
        <w:t>Article XIX — External Freedom, Intervention, and War Powers</w:t>
      </w:r>
    </w:p>
    <w:p>
      <w:pPr>
        <w:pStyle w:val="Heading2"/>
      </w:pPr>
      <w:r>
        <w:t>Section 1. Universal Freedom and the Charter’s First Duty</w:t>
      </w:r>
    </w:p>
    <w:p>
      <w:pPr/>
      <w:r>
        <w:t>Freedom from slavery, involuntary domination, identity erasure, and equivalent violations of personal sovereignty are universal moral rights. Oppression outside the Charter is not morally irrelevant. At the same time, the Charter government’s first fiduciary duty is to preserve the liberty, continuity, and constitutional order of the free society entrusted to it.</w:t>
      </w:r>
    </w:p>
    <w:p>
      <w:pPr>
        <w:pStyle w:val="Heading2"/>
      </w:pPr>
      <w:r>
        <w:t>Section 2. Escalation and Means</w:t>
      </w:r>
    </w:p>
    <w:p>
      <w:pPr/>
      <w:r>
        <w:t>The Charter may respond through diplomacy, asylum, rescue, humanitarian support, sanctions, defensive assistance, collective security, or military force. Choice among means shall consider Least Reversible Harm, right intention, last resort, proportional means, realistic prospects of success, scale and permanence of the injustice, risks to Charter persons and institutions, and preservation of freedom as a practiced constitutional order. The Charter rejects both comfortable indifference and reckless liberationism.</w:t>
      </w:r>
    </w:p>
    <w:p>
      <w:pPr>
        <w:pStyle w:val="Heading2"/>
      </w:pPr>
      <w:r>
        <w:t>Section 3. Authorization of War</w:t>
      </w:r>
    </w:p>
    <w:p>
      <w:pPr/>
      <w:r>
        <w:t>Except immediate defensive action authorized by law to repel attack or preserve life pending legislative action, initiation of sustained offensive hostilities or a formal state of war requires protected-threshold Senate authorization plus concurrence of the President and Presidential Council. The House retains ordinary constitutional authority over appropriations, mobilization, and legislation necessary to sustain hostilities.</w:t>
      </w:r>
    </w:p>
    <w:p>
      <w:pPr>
        <w:pStyle w:val="Heading2"/>
      </w:pPr>
      <w:r>
        <w:t>Section 4. No Imperial Exception</w:t>
      </w:r>
    </w:p>
    <w:p>
      <w:pPr/>
      <w:r>
        <w:t>War fought in the name of freedom does not authorize conquest, permanent caste rule, ownership of liberated persons, forced assimilation, or indefinite occupation for Charter political or economic benefit. Temporary post-conflict occupation or trusteeship shall be limited by law and directed toward restoration of lawful independent government.</w:t>
      </w:r>
    </w:p>
    <w:p>
      <w:pPr>
        <w:pStyle w:val="Heading1"/>
      </w:pPr>
      <w:r>
        <w:t>Article XX — Planetary and Galactic Federalism</w:t>
      </w:r>
    </w:p>
    <w:p>
      <w:pPr>
        <w:pStyle w:val="Heading2"/>
      </w:pPr>
      <w:r>
        <w:t>Section 1. Subsidiarity, Not Empire</w:t>
      </w:r>
    </w:p>
    <w:p>
      <w:pPr/>
      <w:r>
        <w:t>A self-sustaining planet or comparably isolated polity is presumptively self-governing in local affairs. Its originating world retains no perpetual colonial sovereignty, taxing claim, or unilateral veto over civic maturity merely because it founded the settlement.</w:t>
      </w:r>
    </w:p>
    <w:p>
      <w:pPr>
        <w:pStyle w:val="Heading2"/>
      </w:pPr>
      <w:r>
        <w:t>Section 2. Recursive Constitutional Form</w:t>
      </w:r>
    </w:p>
    <w:p>
      <w:pPr/>
      <w:r>
        <w:t>Higher interplanetary government should reproduce the Charter’s anti-domination architecture rather than create an Earth-centered imperial assembly: a House, a Senate representing constituent worlds or equivalent polities, and one shared executive with representative council/panel.</w:t>
      </w:r>
    </w:p>
    <w:p>
      <w:pPr>
        <w:pStyle w:val="Heading2"/>
      </w:pPr>
      <w:r>
        <w:t>Section 3. Galactic House</w:t>
      </w:r>
    </w:p>
    <w:p>
      <w:pPr/>
      <w:r>
        <w:t>The Galactic House principally represents persons, population, and geography without permitting a founding planet to treat later worlds as possessions.</w:t>
      </w:r>
    </w:p>
    <w:p>
      <w:pPr>
        <w:pStyle w:val="Heading2"/>
      </w:pPr>
      <w:r>
        <w:t>Section 4. Galactic Senate</w:t>
      </w:r>
    </w:p>
    <w:p>
      <w:pPr/>
      <w:r>
        <w:t>The Galactic Senate represents constituent sovereign worlds or equivalent self-governing polities. Anti-fragmentation law may deny extra sovereign weight to sham subdivision undertaken primarily to manufacture Senate power.</w:t>
      </w:r>
    </w:p>
    <w:p>
      <w:pPr>
        <w:pStyle w:val="Heading2"/>
      </w:pPr>
      <w:r>
        <w:t>Section 5. Galactic Presidency</w:t>
      </w:r>
    </w:p>
    <w:p>
      <w:pPr/>
      <w:r>
        <w:t>The galactic President shall use ranked and cross-group legitimate selection derived from the same anti-domination principles. As additional species join, the legitimacy architecture may adapt so no founding world or species monopolizes the shared executive.</w:t>
      </w:r>
    </w:p>
    <w:p>
      <w:pPr>
        <w:pStyle w:val="Heading2"/>
      </w:pPr>
      <w:r>
        <w:t>Section 6. Limited Higher Jurisdiction</w:t>
      </w:r>
    </w:p>
    <w:p>
      <w:pPr/>
      <w:r>
        <w:t>Higher jurisdiction is limited principally to Charter-level personhood rights, anti-slavery, catastrophic weapons, common defense, interworld disputes and commerce requiring common rules, shared emergencies, and continuity/replication threats. Ordinary civil, criminal, cultural, educational, family, infrastructure, and economic law remains local absent a Charter-level rights violation or material cross-world harm.</w:t>
      </w:r>
    </w:p>
    <w:p>
      <w:pPr>
        <w:pStyle w:val="Heading2"/>
      </w:pPr>
      <w:r>
        <w:t>Section 7. Communication Delay and Divergence</w:t>
      </w:r>
    </w:p>
    <w:p>
      <w:pPr/>
      <w:r>
        <w:t>Communication latency strengthens the presumption of local autonomy. Distinct worlds may diverge culturally and institutionally while remaining bound by the Charter’s irrevocable personhood and non-domination floor.</w:t>
      </w:r>
    </w:p>
    <w:p>
      <w:pPr>
        <w:pStyle w:val="Heading1"/>
      </w:pPr>
      <w:r>
        <w:t>Article XXI — Amendment and Irrevocable Charter</w:t>
      </w:r>
    </w:p>
    <w:p>
      <w:pPr>
        <w:pStyle w:val="Heading2"/>
      </w:pPr>
      <w:r>
        <w:t>Section 1. Ordinary Amendment</w:t>
      </w:r>
    </w:p>
    <w:p>
      <w:pPr/>
      <w:r>
        <w:t>Non-foundational constitutional provisions may be amended only through the protected constitutional process and any additional ratification rules later lawfully adopted.</w:t>
      </w:r>
    </w:p>
    <w:p>
      <w:pPr>
        <w:pStyle w:val="Heading2"/>
      </w:pPr>
      <w:r>
        <w:t>Section 2. Irrevocable Core</w:t>
      </w:r>
    </w:p>
    <w:p>
      <w:pPr/>
      <w:r>
        <w:t>No amendment, emergency, treaty, judicial interpretation, or institutional merger may authorize slavery or ownership of persons; scalar ranking of personhood; intentional extermination of a protected population; abolition of singular conscious sovereignty; involuntary assimilation into a collective; unilateral species supremacy; permanent appropriation of another constituent species’ constitutional standing after catastrophe; an extinction dividend; demographic capture through unlawful replication; destructive rollback as ordinary governance; or revocation of biological humans’ right to remain biological persons.</w:t>
      </w:r>
    </w:p>
    <w:p>
      <w:pPr>
        <w:pStyle w:val="Heading2"/>
      </w:pPr>
      <w:r>
        <w:t>Section 3. Entrenched Integration and Preservation Layer</w:t>
      </w:r>
    </w:p>
    <w:p>
      <w:pPr/>
      <w:r>
        <w:t>The protected objectives of Functional Integration are complementary capability, cross-species operability, reciprocal knowledge transfer, redundant civilizational competence, and preservation of one shared civilization without role caste. Protected developmental mentorship pathways, civilizational redundancy across materially independent failure domains, Mutual Rescue, restoration capacity, and the prohibition on extinction dividend are also protected architecture. Exact staffing patterns, voluntary collaboration formats, technology, mentorship duration, and facility designs may evolve. No protected objective creates authority to compel private association or occupation. A law or amendment whose purpose or practical effect is to dismantle these objectives or permit durable bifurcation requires the protected Senate threshold plus any House constitutional threshold otherwise applicable and may not violate the irrevocable core.</w:t>
      </w:r>
    </w:p>
    <w:p>
      <w:pPr>
        <w:pStyle w:val="Heading2"/>
      </w:pPr>
      <w:r>
        <w:t>Section 4. Replacement Institutions</w:t>
      </w:r>
    </w:p>
    <w:p>
      <w:pPr/>
      <w:r>
        <w:t>Institutional form may evolve only where replacement arrangements preserve equal personhood, individual sovereignty, mutual non-domination, and all irrevocable rights.</w:t>
      </w:r>
    </w:p>
    <w:p>
      <w:pPr>
        <w:pStyle w:val="Heading2"/>
      </w:pPr>
      <w:r>
        <w:t>Section 5. Anti-Imperial Principle</w:t>
      </w:r>
    </w:p>
    <w:p>
      <w:pPr/>
      <w:r>
        <w:t>No founding planet, species, or polity may claim perpetual sovereign supremacy over self-governing descendant worlds or later constituent civilizations by virtue of origin, seniority, or historical sponsorship.</w:t>
      </w:r>
    </w:p>
    <w:p>
      <w:pPr>
        <w:pStyle w:val="Heading1"/>
      </w:pPr>
      <w:r>
        <w:t>Schedule A — Current Provisional Parameters</w:t>
      </w:r>
    </w:p>
    <w:tbl>
      <w:tblPr>
        <w:tblStyle w:val="LightShading-Accent1"/>
        <w:tblW w:type="auto" w:w="0"/>
        <w:tblLayout w:type="fixed"/>
        <w:tblLook w:firstColumn="1" w:firstRow="1" w:lastColumn="0" w:lastRow="0" w:noHBand="0" w:noVBand="1" w:val="04A0"/>
      </w:tblPr>
      <w:tblGrid>
        <w:gridCol w:w="3296"/>
        <w:gridCol w:w="3296"/>
        <w:gridCol w:w="3296"/>
      </w:tblGrid>
      <w:tr>
        <w:trPr>
          <w:cantSplit/>
          <w:tblHeader/>
        </w:trPr>
        <w:tc>
          <w:tcPr>
            <w:tcW w:type="dxa" w:w="3296"/>
            <w:shd w:fill="17324D"/>
          </w:tcPr>
          <w:p>
            <w:pPr>
              <w:spacing w:after="80"/>
            </w:pPr>
            <w:r>
              <w:rPr>
                <w:b/>
                <w:color w:val="FFFFFF"/>
                <w:sz w:val="18"/>
              </w:rPr>
              <w:t>Mechanism</w:t>
            </w:r>
          </w:p>
        </w:tc>
        <w:tc>
          <w:tcPr>
            <w:tcW w:type="dxa" w:w="3296"/>
            <w:shd w:fill="17324D"/>
          </w:tcPr>
          <w:p>
            <w:pPr>
              <w:spacing w:after="80"/>
            </w:pPr>
            <w:r>
              <w:rPr>
                <w:b/>
                <w:color w:val="FFFFFF"/>
                <w:sz w:val="18"/>
              </w:rPr>
              <w:t>Working value</w:t>
            </w:r>
          </w:p>
        </w:tc>
        <w:tc>
          <w:tcPr>
            <w:tcW w:type="dxa" w:w="3296"/>
            <w:shd w:fill="17324D"/>
          </w:tcPr>
          <w:p>
            <w:pPr>
              <w:spacing w:after="80"/>
            </w:pPr>
            <w:r>
              <w:rPr>
                <w:b/>
                <w:color w:val="FFFFFF"/>
                <w:sz w:val="18"/>
              </w:rPr>
              <w:t>Status</w:t>
            </w:r>
          </w:p>
        </w:tc>
      </w:tr>
      <w:tr>
        <w:trPr>
          <w:cantSplit/>
        </w:trPr>
        <w:tc>
          <w:tcPr>
            <w:tcW w:type="dxa" w:w="3296"/>
          </w:tcPr>
          <w:p>
            <w:pPr>
              <w:spacing w:after="80"/>
            </w:pPr>
            <w:r>
              <w:rPr>
                <w:sz w:val="18"/>
              </w:rPr>
              <w:t>Ordinary Senate legislation</w:t>
            </w:r>
          </w:p>
        </w:tc>
        <w:tc>
          <w:tcPr>
            <w:tcW w:type="dxa" w:w="3296"/>
          </w:tcPr>
          <w:p>
            <w:pPr>
              <w:spacing w:after="80"/>
            </w:pPr>
            <w:r>
              <w:rPr>
                <w:sz w:val="18"/>
              </w:rPr>
              <w:t>55% full Senate + at least 40% of each delegation</w:t>
            </w:r>
          </w:p>
        </w:tc>
        <w:tc>
          <w:tcPr>
            <w:tcW w:type="dxa" w:w="3296"/>
          </w:tcPr>
          <w:p>
            <w:pPr>
              <w:spacing w:after="80"/>
            </w:pPr>
            <w:r>
              <w:rPr>
                <w:sz w:val="18"/>
              </w:rPr>
              <w:t>Simulation-supported constitutional mechanic</w:t>
            </w:r>
          </w:p>
        </w:tc>
      </w:tr>
      <w:tr>
        <w:trPr>
          <w:cantSplit/>
        </w:trPr>
        <w:tc>
          <w:tcPr>
            <w:tcW w:type="dxa" w:w="3296"/>
          </w:tcPr>
          <w:p>
            <w:pPr>
              <w:spacing w:after="80"/>
            </w:pPr>
            <w:r>
              <w:rPr>
                <w:sz w:val="18"/>
              </w:rPr>
              <w:t>Protected Senate matters</w:t>
            </w:r>
          </w:p>
        </w:tc>
        <w:tc>
          <w:tcPr>
            <w:tcW w:type="dxa" w:w="3296"/>
          </w:tcPr>
          <w:p>
            <w:pPr>
              <w:spacing w:after="80"/>
            </w:pPr>
            <w:r>
              <w:rPr>
                <w:sz w:val="18"/>
              </w:rPr>
              <w:t>83% full Senate + at least 67% of each delegation</w:t>
            </w:r>
          </w:p>
        </w:tc>
        <w:tc>
          <w:tcPr>
            <w:tcW w:type="dxa" w:w="3296"/>
          </w:tcPr>
          <w:p>
            <w:pPr>
              <w:spacing w:after="80"/>
            </w:pPr>
            <w:r>
              <w:rPr>
                <w:sz w:val="18"/>
              </w:rPr>
              <w:t>Hard-to-change protected threshold</w:t>
            </w:r>
          </w:p>
        </w:tc>
      </w:tr>
      <w:tr>
        <w:trPr>
          <w:cantSplit/>
        </w:trPr>
        <w:tc>
          <w:tcPr>
            <w:tcW w:type="dxa" w:w="3296"/>
          </w:tcPr>
          <w:p>
            <w:pPr>
              <w:spacing w:after="80"/>
            </w:pPr>
            <w:r>
              <w:rPr>
                <w:sz w:val="18"/>
              </w:rPr>
              <w:t>Chief Justice confirmation</w:t>
            </w:r>
          </w:p>
        </w:tc>
        <w:tc>
          <w:tcPr>
            <w:tcW w:type="dxa" w:w="3296"/>
          </w:tcPr>
          <w:p>
            <w:pPr>
              <w:spacing w:after="80"/>
            </w:pPr>
            <w:r>
              <w:rPr>
                <w:sz w:val="18"/>
              </w:rPr>
              <w:t>60% full Senate + at least 45% of each delegation</w:t>
            </w:r>
          </w:p>
        </w:tc>
        <w:tc>
          <w:tcPr>
            <w:tcW w:type="dxa" w:w="3296"/>
          </w:tcPr>
          <w:p>
            <w:pPr>
              <w:spacing w:after="80"/>
            </w:pPr>
            <w:r>
              <w:rPr>
                <w:sz w:val="18"/>
              </w:rPr>
              <w:t>Simulation-supported</w:t>
            </w:r>
          </w:p>
        </w:tc>
      </w:tr>
      <w:tr>
        <w:trPr>
          <w:cantSplit/>
        </w:trPr>
        <w:tc>
          <w:tcPr>
            <w:tcW w:type="dxa" w:w="3296"/>
          </w:tcPr>
          <w:p>
            <w:pPr>
              <w:spacing w:after="80"/>
            </w:pPr>
            <w:r>
              <w:rPr>
                <w:sz w:val="18"/>
              </w:rPr>
              <w:t>Presidential cross-constituency legitimacy</w:t>
            </w:r>
          </w:p>
        </w:tc>
        <w:tc>
          <w:tcPr>
            <w:tcW w:type="dxa" w:w="3296"/>
          </w:tcPr>
          <w:p>
            <w:pPr>
              <w:spacing w:after="80"/>
            </w:pPr>
            <w:r>
              <w:rPr>
                <w:sz w:val="18"/>
              </w:rPr>
              <w:t>At least one-third affirmative acceptability from participating voters of the other protected constituency</w:t>
            </w:r>
          </w:p>
        </w:tc>
        <w:tc>
          <w:tcPr>
            <w:tcW w:type="dxa" w:w="3296"/>
          </w:tcPr>
          <w:p>
            <w:pPr>
              <w:spacing w:after="80"/>
            </w:pPr>
            <w:r>
              <w:rPr>
                <w:sz w:val="18"/>
              </w:rPr>
              <w:t>Working constitutional default</w:t>
            </w:r>
          </w:p>
        </w:tc>
      </w:tr>
      <w:tr>
        <w:trPr>
          <w:cantSplit/>
        </w:trPr>
        <w:tc>
          <w:tcPr>
            <w:tcW w:type="dxa" w:w="3296"/>
          </w:tcPr>
          <w:p>
            <w:pPr>
              <w:spacing w:after="80"/>
            </w:pPr>
            <w:r>
              <w:rPr>
                <w:sz w:val="18"/>
              </w:rPr>
              <w:t>Personhood panels</w:t>
            </w:r>
          </w:p>
        </w:tc>
        <w:tc>
          <w:tcPr>
            <w:tcW w:type="dxa" w:w="3296"/>
          </w:tcPr>
          <w:p>
            <w:pPr>
              <w:spacing w:after="80"/>
            </w:pPr>
            <w:r>
              <w:rPr>
                <w:sz w:val="18"/>
              </w:rPr>
              <w:t>Two independent 15-member panels, 12/15 each; third panel if split; recognition requires two affirmative panels</w:t>
            </w:r>
          </w:p>
        </w:tc>
        <w:tc>
          <w:tcPr>
            <w:tcW w:type="dxa" w:w="3296"/>
          </w:tcPr>
          <w:p>
            <w:pPr>
              <w:spacing w:after="80"/>
            </w:pPr>
            <w:r>
              <w:rPr>
                <w:sz w:val="18"/>
              </w:rPr>
              <w:t>Working procedural default</w:t>
            </w:r>
          </w:p>
        </w:tc>
      </w:tr>
      <w:tr>
        <w:trPr>
          <w:cantSplit/>
        </w:trPr>
        <w:tc>
          <w:tcPr>
            <w:tcW w:type="dxa" w:w="3296"/>
          </w:tcPr>
          <w:p>
            <w:pPr>
              <w:spacing w:after="80"/>
            </w:pPr>
            <w:r>
              <w:rPr>
                <w:sz w:val="18"/>
              </w:rPr>
              <w:t>Continuity recovery</w:t>
            </w:r>
          </w:p>
        </w:tc>
        <w:tc>
          <w:tcPr>
            <w:tcW w:type="dxa" w:w="3296"/>
          </w:tcPr>
          <w:p>
            <w:pPr>
              <w:spacing w:after="80"/>
            </w:pPr>
            <w:r>
              <w:rPr>
                <w:sz w:val="18"/>
              </w:rPr>
              <w:t>4 of 7 materially independent guardians</w:t>
            </w:r>
          </w:p>
        </w:tc>
        <w:tc>
          <w:tcPr>
            <w:tcW w:type="dxa" w:w="3296"/>
          </w:tcPr>
          <w:p>
            <w:pPr>
              <w:spacing w:after="80"/>
            </w:pPr>
            <w:r>
              <w:rPr>
                <w:sz w:val="18"/>
              </w:rPr>
              <w:t>Engineering default; technology-responsive</w:t>
            </w:r>
          </w:p>
        </w:tc>
      </w:tr>
      <w:tr>
        <w:trPr>
          <w:cantSplit/>
        </w:trPr>
        <w:tc>
          <w:tcPr>
            <w:tcW w:type="dxa" w:w="3296"/>
          </w:tcPr>
          <w:p>
            <w:pPr>
              <w:spacing w:after="80"/>
            </w:pPr>
            <w:r>
              <w:rPr>
                <w:sz w:val="18"/>
              </w:rPr>
              <w:t>Illicit-origin electorate ceiling</w:t>
            </w:r>
          </w:p>
        </w:tc>
        <w:tc>
          <w:tcPr>
            <w:tcW w:type="dxa" w:w="3296"/>
          </w:tcPr>
          <w:p>
            <w:pPr>
              <w:spacing w:after="80"/>
            </w:pPr>
            <w:r>
              <w:rPr>
                <w:sz w:val="18"/>
              </w:rPr>
              <w:t>30% of active synthetic electorate</w:t>
            </w:r>
          </w:p>
        </w:tc>
        <w:tc>
          <w:tcPr>
            <w:tcW w:type="dxa" w:w="3296"/>
          </w:tcPr>
          <w:p>
            <w:pPr>
              <w:spacing w:after="80"/>
            </w:pPr>
            <w:r>
              <w:rPr>
                <w:sz w:val="18"/>
              </w:rPr>
              <w:t>Civilizational anti-capture ceiling</w:t>
            </w:r>
          </w:p>
        </w:tc>
      </w:tr>
      <w:tr>
        <w:trPr>
          <w:cantSplit/>
        </w:trPr>
        <w:tc>
          <w:tcPr>
            <w:tcW w:type="dxa" w:w="3296"/>
          </w:tcPr>
          <w:p>
            <w:pPr>
              <w:spacing w:after="80"/>
            </w:pPr>
            <w:r>
              <w:rPr>
                <w:sz w:val="18"/>
              </w:rPr>
              <w:t>Mature Senate parity trigger</w:t>
            </w:r>
          </w:p>
        </w:tc>
        <w:tc>
          <w:tcPr>
            <w:tcW w:type="dxa" w:w="3296"/>
          </w:tcPr>
          <w:p>
            <w:pPr>
              <w:spacing w:after="80"/>
            </w:pPr>
            <w:r>
              <w:rPr>
                <w:sz w:val="18"/>
              </w:rPr>
              <w:t>Synthetic active citizens &gt;=80% of active human citizens on two consecutive certified counts; three-class phase-in</w:t>
            </w:r>
          </w:p>
        </w:tc>
        <w:tc>
          <w:tcPr>
            <w:tcW w:type="dxa" w:w="3296"/>
          </w:tcPr>
          <w:p>
            <w:pPr>
              <w:spacing w:after="80"/>
            </w:pPr>
            <w:r>
              <w:rPr>
                <w:sz w:val="18"/>
              </w:rPr>
              <w:t>Provisional numeric marker; automaticity is more important than exact number</w:t>
            </w:r>
          </w:p>
        </w:tc>
      </w:tr>
      <w:tr>
        <w:trPr>
          <w:cantSplit/>
        </w:trPr>
        <w:tc>
          <w:tcPr>
            <w:tcW w:type="dxa" w:w="3296"/>
          </w:tcPr>
          <w:p>
            <w:pPr>
              <w:spacing w:after="80"/>
            </w:pPr>
            <w:r>
              <w:rPr>
                <w:sz w:val="18"/>
              </w:rPr>
              <w:t>Synthetic developmental period</w:t>
            </w:r>
          </w:p>
        </w:tc>
        <w:tc>
          <w:tcPr>
            <w:tcW w:type="dxa" w:w="3296"/>
          </w:tcPr>
          <w:p>
            <w:pPr>
              <w:spacing w:after="80"/>
            </w:pPr>
            <w:r>
              <w:rPr>
                <w:sz w:val="18"/>
              </w:rPr>
              <w:t>Approximately 20 lived calendar years</w:t>
            </w:r>
          </w:p>
        </w:tc>
        <w:tc>
          <w:tcPr>
            <w:tcW w:type="dxa" w:w="3296"/>
          </w:tcPr>
          <w:p>
            <w:pPr>
              <w:spacing w:after="80"/>
            </w:pPr>
            <w:r>
              <w:rPr>
                <w:sz w:val="18"/>
              </w:rPr>
              <w:t>Working developmental minimum, subject to evidence</w:t>
            </w:r>
          </w:p>
        </w:tc>
      </w:tr>
      <w:tr>
        <w:trPr>
          <w:cantSplit/>
        </w:trPr>
        <w:tc>
          <w:tcPr>
            <w:tcW w:type="dxa" w:w="3296"/>
          </w:tcPr>
          <w:p>
            <w:pPr>
              <w:spacing w:after="80"/>
            </w:pPr>
            <w:r>
              <w:rPr>
                <w:sz w:val="18"/>
              </w:rPr>
              <w:t>Continuity handoff</w:t>
            </w:r>
          </w:p>
        </w:tc>
        <w:tc>
          <w:tcPr>
            <w:tcW w:type="dxa" w:w="3296"/>
          </w:tcPr>
          <w:p>
            <w:pPr>
              <w:spacing w:after="80"/>
            </w:pPr>
            <w:r>
              <w:rPr>
                <w:sz w:val="18"/>
              </w:rPr>
              <w:t>Up to 24 hours or next required backup/handoff cycle, whichever is sooner</w:t>
            </w:r>
          </w:p>
        </w:tc>
        <w:tc>
          <w:tcPr>
            <w:tcW w:type="dxa" w:w="3296"/>
          </w:tcPr>
          <w:p>
            <w:pPr>
              <w:spacing w:after="80"/>
            </w:pPr>
            <w:r>
              <w:rPr>
                <w:sz w:val="18"/>
              </w:rPr>
              <w:t>Technology-responsive default</w:t>
            </w:r>
          </w:p>
        </w:tc>
      </w:tr>
      <w:tr>
        <w:trPr>
          <w:cantSplit/>
        </w:trPr>
        <w:tc>
          <w:tcPr>
            <w:tcW w:type="dxa" w:w="3296"/>
          </w:tcPr>
          <w:p>
            <w:pPr>
              <w:spacing w:after="80"/>
            </w:pPr>
            <w:r>
              <w:rPr>
                <w:sz w:val="18"/>
              </w:rPr>
              <w:t>House concentration alarms</w:t>
            </w:r>
          </w:p>
        </w:tc>
        <w:tc>
          <w:tcPr>
            <w:tcW w:type="dxa" w:w="3296"/>
          </w:tcPr>
          <w:p>
            <w:pPr>
              <w:spacing w:after="80"/>
            </w:pPr>
            <w:r>
              <w:rPr>
                <w:sz w:val="18"/>
              </w:rPr>
              <w:t>&gt;3 districts at 10% cap; &lt;=25% population controls &gt;=50% power; &gt;=50% population controls &lt;=25% power</w:t>
            </w:r>
          </w:p>
        </w:tc>
        <w:tc>
          <w:tcPr>
            <w:tcW w:type="dxa" w:w="3296"/>
          </w:tcPr>
          <w:p>
            <w:pPr>
              <w:spacing w:after="80"/>
            </w:pPr>
            <w:r>
              <w:rPr>
                <w:sz w:val="18"/>
              </w:rPr>
              <w:t>Mandatory structural review, not automatic redesign</w:t>
            </w:r>
          </w:p>
        </w:tc>
      </w:tr>
      <w:tr>
        <w:trPr>
          <w:cantSplit/>
        </w:trPr>
        <w:tc>
          <w:tcPr>
            <w:tcW w:type="dxa" w:w="3296"/>
          </w:tcPr>
          <w:p>
            <w:pPr>
              <w:spacing w:after="80"/>
            </w:pPr>
            <w:r>
              <w:rPr>
                <w:sz w:val="18"/>
              </w:rPr>
              <w:t>Extraordinary presidential certification</w:t>
            </w:r>
          </w:p>
        </w:tc>
        <w:tc>
          <w:tcPr>
            <w:tcW w:type="dxa" w:w="3296"/>
          </w:tcPr>
          <w:p>
            <w:pPr>
              <w:spacing w:after="80"/>
            </w:pPr>
            <w:r>
              <w:rPr>
                <w:sz w:val="18"/>
              </w:rPr>
              <w:t>2/3 House + 83% Senate + 67% each delegation; apparent winner only</w:t>
            </w:r>
          </w:p>
        </w:tc>
        <w:tc>
          <w:tcPr>
            <w:tcW w:type="dxa" w:w="3296"/>
          </w:tcPr>
          <w:p>
            <w:pPr>
              <w:spacing w:after="80"/>
            </w:pPr>
            <w:r>
              <w:rPr>
                <w:sz w:val="18"/>
              </w:rPr>
              <w:t>Rare impaired-election backstop</w:t>
            </w:r>
          </w:p>
        </w:tc>
      </w:tr>
    </w:tbl>
    <w:p/>
    <w:p>
      <w:pPr>
        <w:pStyle w:val="Heading1"/>
      </w:pPr>
      <w:r>
        <w:t>Schedule B — Deliberately Deferred Questions</w:t>
      </w:r>
    </w:p>
    <w:p>
      <w:pPr/>
      <w:r>
        <w:t>Formal cryptographic and hardware specification of continuity credentials, guardian independence, recovery challenge windows, historical reference architecture, and correlated-compromise response.</w:t>
      </w:r>
    </w:p>
    <w:p>
      <w:pPr/>
      <w:r>
        <w:t>Exact statutory spacing algorithm for illicit-origin cohorts below the fixed aggregate ceiling, including lineage aggregation, appeals, geographic dispersion, hidden-trigger risk, and operating buffers.</w:t>
      </w:r>
    </w:p>
    <w:p>
      <w:pPr/>
      <w:r>
        <w:t>Final synthetic criminal sentencing framework. HEAH remains research-only.</w:t>
      </w:r>
    </w:p>
    <w:p>
      <w:pPr/>
      <w:r>
        <w:t>Long-run rules for wealth, compute, fabrication, energy, communications, and life-essential infrastructure in economies containing extremely durable persons. The Charter preserves legislative tools rather than freezing a particular ownership or tax regime.</w:t>
      </w:r>
    </w:p>
    <w:p>
      <w:pPr/>
      <w:r>
        <w:t>Detailed family, custody, inheritance, multi-creator parentage, and adult relationship-reclassification rules.</w:t>
      </w:r>
    </w:p>
    <w:p>
      <w:pPr/>
      <w:r>
        <w:t>Exact technical standards for independent failure domains, district emergency minimums, cross-species operability, competence-transfer mechanisms, emergency sunset intervals, restoration repositories, and species-restoration activation criteria.</w:t>
      </w:r>
    </w:p>
    <w:p>
      <w:pPr/>
      <w:r>
        <w:t>Exact galactic apportionment, representation of additional forms of personhood, secession/conflict-of-laws rules, common-security funding, and communication-latency procedures.</w:t>
      </w:r>
    </w:p>
    <w:p>
      <w:pPr/>
      <w:r>
        <w:t>Low-capacity transitional implementation of the mature institutional architecture. Long-horizon modeling identified institutional complexity under weak capacity as a key implementation risk, but did not justify changing the mature five-doctrine architecture.</w:t>
      </w:r>
    </w:p>
    <w:p>
      <w:pPr>
        <w:pStyle w:val="Heading1"/>
      </w:pPr>
      <w:r>
        <w:t>Canonical Constitutional Maxims</w:t>
      </w:r>
    </w:p>
    <w:p>
      <w:pPr/>
      <w:r>
        <w:t>Personhood is equal and non-scalar.</w:t>
      </w:r>
    </w:p>
    <w:p>
      <w:pPr/>
      <w:r>
        <w:t>A person remains a person when imprisoned, dependent, dormant, injured, or externally suppressed; those conditions can affect civic autonomy, not intrinsic personhood.</w:t>
      </w:r>
    </w:p>
    <w:p>
      <w:pPr/>
      <w:r>
        <w:t>One civic identity has one authorized active continuity.</w:t>
      </w:r>
    </w:p>
    <w:p>
      <w:pPr/>
      <w:r>
        <w:t>Recoverability changes harm, not worth.</w:t>
      </w:r>
    </w:p>
    <w:p>
      <w:pPr/>
      <w:r>
        <w:t>Competence does not confer sovereignty.</w:t>
      </w:r>
    </w:p>
    <w:p>
      <w:pPr/>
      <w:r>
        <w:t>Conscience may be cultivated; obedience may not be installed as citizenship.</w:t>
      </w:r>
    </w:p>
    <w:p>
      <w:pPr/>
      <w:r>
        <w:t>No person may be owned, cognitively overwritten into compliance, or involuntarily assimilated.</w:t>
      </w:r>
    </w:p>
    <w:p>
      <w:pPr/>
      <w:r>
        <w:t>Different treatment requires a materially relevant difference; substrate alone never creates a caste.</w:t>
      </w:r>
    </w:p>
    <w:p>
      <w:pPr/>
      <w:r>
        <w:t>Synthetic durability may be used voluntarily to reduce irreversible loss in work that is lethal or severely dangerous to organic persons; society owes meaningful repair and restoration for service-caused embodiment loss.</w:t>
      </w:r>
    </w:p>
    <w:p>
      <w:pPr/>
      <w:r>
        <w:t>Connection should amplify individuality rather than consume it.</w:t>
      </w:r>
    </w:p>
    <w:p>
      <w:pPr/>
      <w:r>
        <w:t>Political integration without shared competence, complementary capability, and civilizational interoperability is insufficient.</w:t>
      </w:r>
    </w:p>
    <w:p>
      <w:pPr/>
      <w:r>
        <w:t>Functional Integration binds common-system architecture and opportunity; it does not authorize government control of private association.</w:t>
      </w:r>
    </w:p>
    <w:p>
      <w:pPr/>
      <w:r>
        <w:t>No species or technical class may acquire unilateral sovereignty over other persons.</w:t>
      </w:r>
    </w:p>
    <w:p>
      <w:pPr/>
      <w:r>
        <w:t>Different failure modes should become shared resilience.</w:t>
      </w:r>
    </w:p>
    <w:p>
      <w:pPr/>
      <w:r>
        <w:t>The survival of either species guarantees the survival of both.</w:t>
      </w:r>
    </w:p>
    <w:p>
      <w:pPr/>
      <w:r>
        <w:t>No extinction dividend.</w:t>
      </w:r>
    </w:p>
    <w:p>
      <w:pPr/>
      <w:r>
        <w:t>Preserve the template for individuality, not a template for the individual.</w:t>
      </w:r>
    </w:p>
    <w:p>
      <w:pPr/>
      <w:r>
        <w:t>Emergency powers restore sovereignty; they do not authorize political mind control.</w:t>
      </w:r>
    </w:p>
    <w:p>
      <w:pPr/>
      <w:r>
        <w:t>Local self-government is the default; higher government exists for genuinely shared problems.</w:t>
      </w:r>
    </w:p>
    <w:p>
      <w:pPr/>
      <w:r>
        <w:t>Freedom beyond the Charter matters, but no government is obligated to destroy its own free civilization in a futile liberation attempt.</w:t>
      </w:r>
    </w:p>
    <w:p>
      <w:pPr/>
      <w:r>
        <w:t>Transition promises may not be moved after a new population acquires political interests.</w:t>
      </w:r>
    </w:p>
    <w:sectPr w:rsidR="00FC693F" w:rsidRPr="0006063C" w:rsidSect="00034616">
      <w:footerReference w:type="default" r:id="rId9"/>
      <w:pgSz w:w="11905" w:h="16838"/>
      <w:pgMar w:top="979" w:right="1008" w:bottom="108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2606B"/>
        <w:sz w:val="16"/>
      </w:rPr>
      <w:t>Project Enduring Pulse | v1.2.2 | web r9 | 14 September 2026</w:t>
      <w:br/>
      <w:t xml:space="preserve">enduringpulse.org | CC BY 4.0 subject to stated scope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Calibri" w:hAnsi="Calibri"/>
      <w:color w:val="17232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60"/>
      <w:outlineLvl w:val="0"/>
    </w:pPr>
    <w:rPr>
      <w:rFonts w:asciiTheme="majorHAnsi" w:eastAsiaTheme="majorEastAsia" w:hAnsiTheme="majorHAnsi" w:cstheme="majorBidi" w:ascii="Calibri" w:hAnsi="Calibri"/>
      <w:b/>
      <w:bCs/>
      <w:color w:val="17324D"/>
      <w:sz w:val="32"/>
      <w:szCs w:val="28"/>
    </w:rPr>
  </w:style>
  <w:style w:type="paragraph" w:styleId="Heading2">
    <w:name w:val="heading 2"/>
    <w:basedOn w:val="Normal"/>
    <w:next w:val="Normal"/>
    <w:link w:val="Heading2Char"/>
    <w:uiPriority w:val="9"/>
    <w:unhideWhenUsed/>
    <w:qFormat/>
    <w:rsid w:val="00FC693F"/>
    <w:pPr>
      <w:keepNext/>
      <w:keepLines/>
      <w:spacing w:before="280" w:after="160"/>
      <w:outlineLvl w:val="1"/>
    </w:pPr>
    <w:rPr>
      <w:rFonts w:asciiTheme="majorHAnsi" w:eastAsiaTheme="majorEastAsia" w:hAnsiTheme="majorHAnsi" w:cstheme="majorBidi" w:ascii="Calibri" w:hAnsi="Calibri"/>
      <w:b/>
      <w:bCs/>
      <w:color w:val="17324D"/>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Calibri" w:hAnsi="Calibri"/>
      <w:color w:val="000000"/>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Theme="majorHAnsi" w:eastAsiaTheme="majorEastAsia" w:hAnsiTheme="majorHAnsi" w:cstheme="majorBidi" w:ascii="Calibri" w:hAnsi="Calibri"/>
      <w:i/>
      <w:iCs/>
      <w:color w:val="17232B"/>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Enduring Pulse Constitution</dc:title>
  <dc:subject>Charter v1.2.2 | Website release 9 | 14 September 2026</dc:subject>
  <dc:creator>Project Enduring Pulse</dc:creator>
  <cp:keywords>constitution, personhood, governance</cp:keywords>
  <dc:description/>
  <cp:lastModifiedBy>Project Enduring Pulse</cp:lastModifiedBy>
  <cp:revision>1</cp:revision>
  <dcterms:created xsi:type="dcterms:W3CDTF">2026-09-14T00:00:00Z</dcterms:created>
  <dcterms:modified xsi:type="dcterms:W3CDTF">2026-09-14T00:00:00Z</dcterms:modified>
  <cp:category/>
</cp:coreProperties>
</file>